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4148E9" w14:paraId="2ACFEC4D" w14:textId="2C8ECE8D" w:rsidTr="00AA0919">
        <w:trPr>
          <w:trHeight w:val="456"/>
        </w:trPr>
        <w:tc>
          <w:tcPr>
            <w:tcW w:w="10772" w:type="dxa"/>
            <w:gridSpan w:val="3"/>
            <w:tcBorders>
              <w:top w:val="nil"/>
              <w:bottom w:val="nil"/>
            </w:tcBorders>
            <w:shd w:val="clear" w:color="auto" w:fill="FFC000"/>
          </w:tcPr>
          <w:p w14:paraId="7D96CDD6" w14:textId="20C50864" w:rsidR="004148E9" w:rsidRPr="00550A4B" w:rsidRDefault="004148E9" w:rsidP="00884DC0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 w:rsidRPr="00550A4B"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4148E9" w14:paraId="7AA791BD" w14:textId="1D638A0C" w:rsidTr="00FE7687">
        <w:trPr>
          <w:trHeight w:val="1393"/>
        </w:trPr>
        <w:tc>
          <w:tcPr>
            <w:tcW w:w="10772" w:type="dxa"/>
            <w:gridSpan w:val="3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08124896" w14:textId="54352926" w:rsidR="004148E9" w:rsidRPr="00603E76" w:rsidRDefault="00603E76" w:rsidP="008F2E9A">
            <w:pPr>
              <w:pStyle w:val="Nagwek3"/>
              <w:spacing w:before="240"/>
              <w:jc w:val="center"/>
              <w:rPr>
                <w:rFonts w:ascii="Calibri" w:hAnsi="Calibri"/>
                <w:color w:val="FFFFFF"/>
                <w:sz w:val="48"/>
                <w:szCs w:val="48"/>
              </w:rPr>
            </w:pPr>
            <w:r w:rsidRPr="00603E76">
              <w:rPr>
                <w:rFonts w:ascii="Calibri" w:hAnsi="Calibri"/>
                <w:color w:val="FFFFFF"/>
                <w:sz w:val="48"/>
                <w:szCs w:val="48"/>
              </w:rPr>
              <w:t xml:space="preserve">ZAWIERANIE </w:t>
            </w:r>
            <w:r w:rsidR="004148E9" w:rsidRPr="00603E76">
              <w:rPr>
                <w:rFonts w:ascii="Calibri" w:hAnsi="Calibri"/>
                <w:color w:val="FFFFFF"/>
                <w:sz w:val="48"/>
                <w:szCs w:val="48"/>
              </w:rPr>
              <w:t>UMÓW HANDLOWYCH</w:t>
            </w:r>
          </w:p>
          <w:p w14:paraId="407763AE" w14:textId="77777777" w:rsidR="004148E9" w:rsidRPr="00603E76" w:rsidRDefault="004148E9" w:rsidP="00E251CD">
            <w:pPr>
              <w:spacing w:before="120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603E76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JAK ZABEZPIECZYĆ INTERESY FIRMY I OGRANICZYĆ RYZYKO </w:t>
            </w:r>
          </w:p>
          <w:p w14:paraId="68E620E1" w14:textId="5F8859BD" w:rsidR="004148E9" w:rsidRPr="00603E76" w:rsidRDefault="004148E9" w:rsidP="002A1213">
            <w:pPr>
              <w:pStyle w:val="Nagwek3"/>
              <w:spacing w:after="120"/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603E76">
              <w:rPr>
                <w:rFonts w:ascii="Calibri" w:hAnsi="Calibri"/>
                <w:color w:val="FFFFFF"/>
                <w:sz w:val="28"/>
                <w:szCs w:val="28"/>
              </w:rPr>
              <w:t xml:space="preserve">PRZY ZAWIERANIU UMÓW HANDLOWYCH? </w:t>
            </w:r>
          </w:p>
          <w:p w14:paraId="0EB3B937" w14:textId="59BAA8AF" w:rsidR="002A1213" w:rsidRPr="002A1213" w:rsidRDefault="002A1213" w:rsidP="009E1355">
            <w:pPr>
              <w:jc w:val="center"/>
            </w:pPr>
          </w:p>
        </w:tc>
      </w:tr>
      <w:tr w:rsidR="009E1355" w14:paraId="5746BDC9" w14:textId="1FD53811" w:rsidTr="00B9692D">
        <w:trPr>
          <w:cantSplit/>
          <w:trHeight w:val="434"/>
        </w:trPr>
        <w:tc>
          <w:tcPr>
            <w:tcW w:w="5386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341B4D10" w14:textId="61403ACE" w:rsidR="009E1355" w:rsidRPr="00B9692D" w:rsidRDefault="009E1355" w:rsidP="009E1355">
            <w:pPr>
              <w:jc w:val="center"/>
              <w:rPr>
                <w:rFonts w:asciiTheme="minorHAnsi" w:hAnsiTheme="minorHAnsi"/>
                <w:bCs/>
                <w:color w:val="0F243E" w:themeColor="text2" w:themeShade="80"/>
                <w:sz w:val="22"/>
                <w:szCs w:val="22"/>
              </w:rPr>
            </w:pPr>
            <w:r w:rsidRPr="00B9692D">
              <w:rPr>
                <w:rFonts w:ascii="Calibri" w:hAnsi="Calibri"/>
                <w:b/>
                <w:bCs/>
                <w:iCs/>
                <w:color w:val="0F243E" w:themeColor="text2" w:themeShade="80"/>
              </w:rPr>
              <w:t>Szkolenia online – wirtualna sala ATL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51D4A9C9" w14:textId="781CD5B0" w:rsidR="009E1355" w:rsidRPr="00B9692D" w:rsidRDefault="009E1355" w:rsidP="009E1355">
            <w:pPr>
              <w:jc w:val="center"/>
              <w:rPr>
                <w:rFonts w:asciiTheme="minorHAnsi" w:hAnsiTheme="minorHAnsi"/>
                <w:bCs/>
                <w:color w:val="0F243E" w:themeColor="text2" w:themeShade="80"/>
                <w:sz w:val="22"/>
                <w:szCs w:val="22"/>
              </w:rPr>
            </w:pPr>
            <w:r w:rsidRPr="00B9692D">
              <w:rPr>
                <w:rFonts w:ascii="Calibri" w:hAnsi="Calibri"/>
                <w:b/>
                <w:iCs/>
                <w:color w:val="0F243E" w:themeColor="text2" w:themeShade="80"/>
              </w:rPr>
              <w:t>Szkolenia stacjonarne</w:t>
            </w:r>
          </w:p>
        </w:tc>
      </w:tr>
      <w:tr w:rsidR="00B9692D" w14:paraId="29EC8F03" w14:textId="77777777" w:rsidTr="00B9692D">
        <w:trPr>
          <w:cantSplit/>
          <w:trHeight w:val="1121"/>
        </w:trPr>
        <w:tc>
          <w:tcPr>
            <w:tcW w:w="5386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6D275681" w14:textId="62BA9874" w:rsidR="00B9692D" w:rsidRPr="00FE7DF2" w:rsidRDefault="00B9692D" w:rsidP="00FE768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13-14.05.2024</w:t>
            </w:r>
          </w:p>
        </w:tc>
        <w:tc>
          <w:tcPr>
            <w:tcW w:w="2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40A2DA71" w14:textId="77777777" w:rsidR="00B56393" w:rsidRPr="00B9692D" w:rsidRDefault="00B56393" w:rsidP="00B563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9692D">
              <w:rPr>
                <w:rFonts w:asciiTheme="minorHAnsi" w:hAnsiTheme="minorHAnsi"/>
                <w:b/>
                <w:bCs/>
              </w:rPr>
              <w:t>Katowice:</w:t>
            </w:r>
          </w:p>
          <w:p w14:paraId="6B2326CF" w14:textId="42A2E766" w:rsidR="00B9692D" w:rsidRDefault="00B56393" w:rsidP="00B563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08-09.04.2024</w:t>
            </w:r>
          </w:p>
        </w:tc>
        <w:tc>
          <w:tcPr>
            <w:tcW w:w="2693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5442685" w14:textId="77777777" w:rsidR="00B56393" w:rsidRPr="000A1D0B" w:rsidRDefault="00B56393" w:rsidP="00B5639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A1D0B">
              <w:rPr>
                <w:rFonts w:asciiTheme="minorHAnsi" w:hAnsiTheme="minorHAnsi"/>
                <w:b/>
                <w:bCs/>
              </w:rPr>
              <w:t>Warszawa:</w:t>
            </w:r>
          </w:p>
          <w:p w14:paraId="192E8D39" w14:textId="0286AB40" w:rsidR="00B9692D" w:rsidRPr="00FE7687" w:rsidRDefault="00B56393" w:rsidP="00B56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11-12.04.2024</w:t>
            </w:r>
          </w:p>
        </w:tc>
      </w:tr>
    </w:tbl>
    <w:p w14:paraId="23BEF4C8" w14:textId="77777777" w:rsidR="00CA74A0" w:rsidRPr="00AA0919" w:rsidRDefault="00CA74A0" w:rsidP="00CA74A0">
      <w:pPr>
        <w:pStyle w:val="Nagwek7"/>
        <w:tabs>
          <w:tab w:val="clear" w:pos="2127"/>
          <w:tab w:val="clear" w:pos="10490"/>
        </w:tabs>
        <w:spacing w:before="240" w:after="120"/>
        <w:jc w:val="left"/>
        <w:rPr>
          <w:rFonts w:ascii="Calibri" w:hAnsi="Calibri"/>
          <w:iCs/>
          <w:color w:val="244061" w:themeColor="accent1" w:themeShade="80"/>
          <w:sz w:val="22"/>
          <w:szCs w:val="22"/>
        </w:rPr>
      </w:pPr>
      <w:r w:rsidRPr="00AA0919">
        <w:rPr>
          <w:rFonts w:ascii="Calibri" w:hAnsi="Calibri"/>
          <w:iCs/>
          <w:color w:val="244061" w:themeColor="accent1" w:themeShade="80"/>
          <w:sz w:val="22"/>
          <w:szCs w:val="22"/>
        </w:rPr>
        <w:t>Dlaczego ten temat zasługuje na szczególną uwagę:</w:t>
      </w:r>
    </w:p>
    <w:p w14:paraId="558A66EC" w14:textId="2DFA0880" w:rsidR="008305F1" w:rsidRPr="00737032" w:rsidRDefault="008F2E9A" w:rsidP="008305F1">
      <w:pPr>
        <w:spacing w:after="120"/>
        <w:jc w:val="both"/>
        <w:rPr>
          <w:rFonts w:asciiTheme="minorHAnsi" w:hAnsiTheme="minorHAnsi"/>
          <w:bCs/>
          <w:iCs/>
          <w:sz w:val="20"/>
          <w:szCs w:val="20"/>
        </w:rPr>
      </w:pPr>
      <w:r w:rsidRPr="00737032">
        <w:rPr>
          <w:rFonts w:asciiTheme="minorHAnsi" w:hAnsiTheme="minorHAnsi"/>
          <w:b/>
          <w:bCs/>
          <w:iCs/>
          <w:sz w:val="20"/>
          <w:szCs w:val="20"/>
        </w:rPr>
        <w:t>Przedsiębiorstwa, działające zarówno na rynku krajowym, jak i zagranicznym, spotykają się obecnie z zagrożeniami, których jeszcze niedawno nie uwzględniały w swoich strategiach. Celem nie stało się już agresywne zdobywanie rynku, ale zrównoważony rozwój, zapewniający względną stabilność.</w:t>
      </w:r>
    </w:p>
    <w:p w14:paraId="399B60FF" w14:textId="77777777" w:rsidR="008305F1" w:rsidRPr="00737032" w:rsidRDefault="008F2E9A" w:rsidP="008305F1">
      <w:pPr>
        <w:spacing w:after="120"/>
        <w:jc w:val="both"/>
        <w:rPr>
          <w:rFonts w:asciiTheme="minorHAnsi" w:hAnsiTheme="minorHAnsi"/>
          <w:bCs/>
          <w:iCs/>
          <w:sz w:val="20"/>
          <w:szCs w:val="20"/>
        </w:rPr>
      </w:pPr>
      <w:r w:rsidRPr="00737032">
        <w:rPr>
          <w:rFonts w:asciiTheme="minorHAnsi" w:hAnsiTheme="minorHAnsi"/>
          <w:bCs/>
          <w:iCs/>
          <w:sz w:val="20"/>
          <w:szCs w:val="20"/>
        </w:rPr>
        <w:t xml:space="preserve">Jednym z przejawów tej stabilności jest właściwe zabezpieczenie swoich interesów w umowach handlowych, z poszanowaniem interesów klienta i uwzględnieniem zmieniających się warunków, zarówno prawnych, jak i rynkowych.  </w:t>
      </w:r>
      <w:r w:rsidRPr="00737032">
        <w:rPr>
          <w:rFonts w:asciiTheme="minorHAnsi" w:hAnsiTheme="minorHAnsi"/>
          <w:b/>
          <w:bCs/>
          <w:iCs/>
          <w:sz w:val="20"/>
          <w:szCs w:val="20"/>
        </w:rPr>
        <w:t xml:space="preserve">Na handlowca spadł więc obowiązek poruszania się w bardzo skomplikowanym, ulegającym ciągłym zmianom systemie.  </w:t>
      </w:r>
      <w:r w:rsidRPr="00737032">
        <w:rPr>
          <w:rFonts w:asciiTheme="minorHAnsi" w:hAnsiTheme="minorHAnsi"/>
          <w:bCs/>
          <w:iCs/>
          <w:sz w:val="20"/>
          <w:szCs w:val="20"/>
        </w:rPr>
        <w:t xml:space="preserve">Brak szerokiej wiedzy na ten temat powoduje liczne błędy na etapie negocjowania i realizacji takich umów, w tym generowanie niepotrzebnych </w:t>
      </w:r>
      <w:proofErr w:type="spellStart"/>
      <w:r w:rsidRPr="00737032">
        <w:rPr>
          <w:rFonts w:asciiTheme="minorHAnsi" w:hAnsiTheme="minorHAnsi"/>
          <w:bCs/>
          <w:iCs/>
          <w:sz w:val="20"/>
          <w:szCs w:val="20"/>
        </w:rPr>
        <w:t>ryzyk</w:t>
      </w:r>
      <w:proofErr w:type="spellEnd"/>
      <w:r w:rsidRPr="00737032">
        <w:rPr>
          <w:rFonts w:asciiTheme="minorHAnsi" w:hAnsiTheme="minorHAnsi"/>
          <w:bCs/>
          <w:iCs/>
          <w:sz w:val="20"/>
          <w:szCs w:val="20"/>
        </w:rPr>
        <w:t xml:space="preserve"> i kosztów. </w:t>
      </w:r>
      <w:r w:rsidRPr="00737032">
        <w:rPr>
          <w:rFonts w:asciiTheme="minorHAnsi" w:hAnsiTheme="minorHAnsi"/>
          <w:b/>
          <w:bCs/>
          <w:iCs/>
          <w:sz w:val="20"/>
          <w:szCs w:val="20"/>
        </w:rPr>
        <w:t>Nie można tu polegać na doświadczeniu, bo zmieniają się nie tylko uwarunkowania prawne (nowe Rozporządzenia Parlamentu Europejskiego i Rady, zmiany Prawa cywilnego, itp.), procedury (nowe dokumenty, sposoby  płatności, zmiany w Konwencjach przewozowych, itp.), ale także zwyczaje i uzanse w tym zakresie (</w:t>
      </w:r>
      <w:proofErr w:type="spellStart"/>
      <w:r w:rsidRPr="00737032">
        <w:rPr>
          <w:rFonts w:asciiTheme="minorHAnsi" w:hAnsiTheme="minorHAnsi"/>
          <w:b/>
          <w:bCs/>
          <w:iCs/>
          <w:sz w:val="20"/>
          <w:szCs w:val="20"/>
        </w:rPr>
        <w:t>Incoterms</w:t>
      </w:r>
      <w:proofErr w:type="spellEnd"/>
      <w:r w:rsidRPr="00737032">
        <w:rPr>
          <w:rFonts w:asciiTheme="minorHAnsi" w:hAnsiTheme="minorHAnsi"/>
          <w:b/>
          <w:bCs/>
          <w:iCs/>
          <w:sz w:val="20"/>
          <w:szCs w:val="20"/>
        </w:rPr>
        <w:t>, UCP, URDG, itp.).</w:t>
      </w:r>
      <w:r w:rsidRPr="00737032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18E4FABE" w14:textId="77777777" w:rsidR="008F2E9A" w:rsidRPr="00737032" w:rsidRDefault="008F2E9A" w:rsidP="001951F1">
      <w:p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737032">
        <w:rPr>
          <w:rFonts w:asciiTheme="minorHAnsi" w:hAnsiTheme="minorHAnsi"/>
          <w:b/>
          <w:bCs/>
          <w:iCs/>
          <w:color w:val="943634" w:themeColor="accent2" w:themeShade="BF"/>
          <w:sz w:val="20"/>
          <w:szCs w:val="20"/>
        </w:rPr>
        <w:t>Naszym celem jest zapewnienie handlowcom niezbędnej, podstawowej wiedzy w tzw. „pigułce”, odnośnie uwarunkowań, w których muszą na co dzień zawierać i realizować ważne dla przedsiębiorstwa umowy. Działanie „rutynowe” może doprowadzić niejednokrotnie do pominięcia niezbędnych zabezpieczeń w umowach, popadnięcia w konflikt prawny i powstania niepotrzebnych kosztów.</w:t>
      </w:r>
      <w:r w:rsidRPr="00737032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737032">
        <w:rPr>
          <w:rFonts w:asciiTheme="minorHAnsi" w:hAnsiTheme="minorHAnsi"/>
          <w:b/>
          <w:bCs/>
          <w:iCs/>
          <w:sz w:val="20"/>
          <w:szCs w:val="20"/>
        </w:rPr>
        <w:t>Bezpieczeństwo bieżące i ograniczenie kosztownej odpowiedzialności w przyszłości są argumentami, za traktowaniem naszego szkolenia jako niezbędnej inwestycji.</w:t>
      </w:r>
    </w:p>
    <w:p w14:paraId="23741847" w14:textId="77777777" w:rsidR="00030FF5" w:rsidRPr="00737032" w:rsidRDefault="00030FF5" w:rsidP="00A74F25">
      <w:pPr>
        <w:pStyle w:val="Tekstpodstawowy2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737032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p w14:paraId="37D419AF" w14:textId="51696065" w:rsidR="001951F1" w:rsidRPr="00737032" w:rsidRDefault="005A0EE2" w:rsidP="00E0434F">
      <w:pPr>
        <w:spacing w:after="24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k</w:t>
      </w:r>
      <w:r w:rsidR="001951F1" w:rsidRPr="00737032">
        <w:rPr>
          <w:rFonts w:asciiTheme="minorHAnsi" w:hAnsiTheme="minorHAnsi"/>
          <w:bCs/>
          <w:iCs/>
          <w:sz w:val="20"/>
          <w:szCs w:val="20"/>
        </w:rPr>
        <w:t>adry menedżerskiej i handlowców, pracowników działów: sprzedaży i zakupów, eksportu i importu, oraz wszystkich osób odpowiedzialnych za negocjowanie, zawieranie i realizowanie umów z partnerami zagranicznymi.</w:t>
      </w:r>
    </w:p>
    <w:p w14:paraId="358DFC22" w14:textId="190F9100" w:rsidR="00937400" w:rsidRPr="00550A4B" w:rsidRDefault="008305F1" w:rsidP="00550A4B">
      <w:pPr>
        <w:shd w:val="clear" w:color="auto" w:fill="244061" w:themeFill="accent1" w:themeFillShade="80"/>
        <w:ind w:right="23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/>
          <w:iCs/>
          <w:color w:val="FFFFFF"/>
          <w:sz w:val="22"/>
          <w:szCs w:val="22"/>
        </w:rPr>
        <w:t>Cele szkolenia – dzięki udziale w szkoleniu uczestnicy</w:t>
      </w:r>
      <w:r w:rsidR="00030FF5" w:rsidRPr="00182DEF">
        <w:rPr>
          <w:rFonts w:ascii="Calibri" w:hAnsi="Calibri"/>
          <w:b/>
          <w:iCs/>
          <w:color w:val="FFFFFF"/>
          <w:sz w:val="22"/>
          <w:szCs w:val="22"/>
        </w:rPr>
        <w:t>:</w:t>
      </w:r>
    </w:p>
    <w:p w14:paraId="7D5117E0" w14:textId="49B991AF" w:rsidR="00937400" w:rsidRPr="005A0EE2" w:rsidRDefault="00937400" w:rsidP="00021A71">
      <w:pPr>
        <w:pStyle w:val="Akapitzlist"/>
        <w:numPr>
          <w:ilvl w:val="0"/>
          <w:numId w:val="10"/>
        </w:numPr>
        <w:spacing w:before="240"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uporządk</w:t>
      </w:r>
      <w:r w:rsidR="00550A4B" w:rsidRPr="005A0EE2">
        <w:rPr>
          <w:rFonts w:asciiTheme="minorHAnsi" w:hAnsiTheme="minorHAnsi" w:cstheme="minorHAnsi"/>
          <w:sz w:val="20"/>
          <w:szCs w:val="20"/>
        </w:rPr>
        <w:t>ują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</w:t>
      </w:r>
      <w:r w:rsidR="00550A4B" w:rsidRPr="005A0EE2">
        <w:rPr>
          <w:rFonts w:asciiTheme="minorHAnsi" w:hAnsiTheme="minorHAnsi" w:cstheme="minorHAnsi"/>
          <w:sz w:val="20"/>
          <w:szCs w:val="20"/>
        </w:rPr>
        <w:t xml:space="preserve">swoją </w:t>
      </w:r>
      <w:r w:rsidRPr="005A0EE2">
        <w:rPr>
          <w:rFonts w:asciiTheme="minorHAnsi" w:hAnsiTheme="minorHAnsi" w:cstheme="minorHAnsi"/>
          <w:sz w:val="20"/>
          <w:szCs w:val="20"/>
        </w:rPr>
        <w:t>wiedz</w:t>
      </w:r>
      <w:r w:rsidR="00550A4B" w:rsidRPr="005A0EE2">
        <w:rPr>
          <w:rFonts w:asciiTheme="minorHAnsi" w:hAnsiTheme="minorHAnsi" w:cstheme="minorHAnsi"/>
          <w:sz w:val="20"/>
          <w:szCs w:val="20"/>
        </w:rPr>
        <w:t>ę</w:t>
      </w:r>
      <w:r w:rsidRPr="005A0EE2">
        <w:rPr>
          <w:rFonts w:asciiTheme="minorHAnsi" w:hAnsiTheme="minorHAnsi" w:cstheme="minorHAnsi"/>
          <w:sz w:val="20"/>
          <w:szCs w:val="20"/>
        </w:rPr>
        <w:t xml:space="preserve"> na temat systemu prawa handlowego i zasad jego wykorzystania w bieżącej pracy,</w:t>
      </w:r>
    </w:p>
    <w:p w14:paraId="2B0DEB74" w14:textId="6C4D79CC" w:rsidR="00937400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zdob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wiedz</w:t>
      </w:r>
      <w:r w:rsidR="005A0EE2" w:rsidRPr="005A0EE2">
        <w:rPr>
          <w:rFonts w:asciiTheme="minorHAnsi" w:hAnsiTheme="minorHAnsi" w:cstheme="minorHAnsi"/>
          <w:sz w:val="20"/>
          <w:szCs w:val="20"/>
        </w:rPr>
        <w:t>ę</w:t>
      </w:r>
      <w:r w:rsidRPr="005A0EE2">
        <w:rPr>
          <w:rFonts w:asciiTheme="minorHAnsi" w:hAnsiTheme="minorHAnsi" w:cstheme="minorHAnsi"/>
          <w:sz w:val="20"/>
          <w:szCs w:val="20"/>
        </w:rPr>
        <w:t xml:space="preserve"> na temat skutecznego analizowania klauzul kontraktowych pod kątem niebezpieczeństw i pułapek,</w:t>
      </w:r>
    </w:p>
    <w:p w14:paraId="07D8C3C7" w14:textId="7A965FCD" w:rsidR="005A0EE2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zdob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wiedz</w:t>
      </w:r>
      <w:r w:rsidR="005A0EE2" w:rsidRPr="005A0EE2">
        <w:rPr>
          <w:rFonts w:asciiTheme="minorHAnsi" w:hAnsiTheme="minorHAnsi" w:cstheme="minorHAnsi"/>
          <w:sz w:val="20"/>
          <w:szCs w:val="20"/>
        </w:rPr>
        <w:t>ę</w:t>
      </w:r>
      <w:r w:rsidRPr="005A0EE2">
        <w:rPr>
          <w:rFonts w:asciiTheme="minorHAnsi" w:hAnsiTheme="minorHAnsi" w:cstheme="minorHAnsi"/>
          <w:sz w:val="20"/>
          <w:szCs w:val="20"/>
        </w:rPr>
        <w:t xml:space="preserve"> odnośnie zasad interpretacji niebezpiecznych sformułowań w klauzulach handlowych</w:t>
      </w:r>
      <w:r w:rsidR="005A0EE2" w:rsidRPr="005A0EE2">
        <w:rPr>
          <w:rFonts w:asciiTheme="minorHAnsi" w:hAnsiTheme="minorHAnsi" w:cstheme="minorHAnsi"/>
          <w:sz w:val="20"/>
          <w:szCs w:val="20"/>
        </w:rPr>
        <w:t>,</w:t>
      </w:r>
    </w:p>
    <w:p w14:paraId="4AC9C773" w14:textId="2EEC68AB" w:rsidR="00937400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zdob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praktyczn</w:t>
      </w:r>
      <w:r w:rsidR="005A0EE2" w:rsidRPr="005A0EE2">
        <w:rPr>
          <w:rFonts w:asciiTheme="minorHAnsi" w:hAnsiTheme="minorHAnsi" w:cstheme="minorHAnsi"/>
          <w:sz w:val="20"/>
          <w:szCs w:val="20"/>
        </w:rPr>
        <w:t>e</w:t>
      </w:r>
      <w:r w:rsidRPr="005A0EE2">
        <w:rPr>
          <w:rFonts w:asciiTheme="minorHAnsi" w:hAnsiTheme="minorHAnsi" w:cstheme="minorHAnsi"/>
          <w:sz w:val="20"/>
          <w:szCs w:val="20"/>
        </w:rPr>
        <w:t xml:space="preserve"> umiejętności posługiwania się klauzulami kontraktowymi w umowach i warunkach ogólnych umów,</w:t>
      </w:r>
    </w:p>
    <w:p w14:paraId="39F560FE" w14:textId="7D583B32" w:rsidR="00937400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nab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umiejętności radzenia sobie z różnymi pułapkami przy zawieraniu umów handlowych, zarówno w zakresie towarów jak i usług,</w:t>
      </w:r>
    </w:p>
    <w:p w14:paraId="64FFCE74" w14:textId="77777777" w:rsidR="005A0EE2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zdob</w:t>
      </w:r>
      <w:r w:rsidR="005A0EE2" w:rsidRPr="005A0EE2">
        <w:rPr>
          <w:rFonts w:asciiTheme="minorHAnsi" w:hAnsiTheme="minorHAnsi" w:cstheme="minorHAnsi"/>
          <w:sz w:val="20"/>
          <w:szCs w:val="20"/>
        </w:rPr>
        <w:t xml:space="preserve">ędą </w:t>
      </w:r>
      <w:r w:rsidRPr="005A0EE2">
        <w:rPr>
          <w:rFonts w:asciiTheme="minorHAnsi" w:hAnsiTheme="minorHAnsi" w:cstheme="minorHAnsi"/>
          <w:sz w:val="20"/>
          <w:szCs w:val="20"/>
        </w:rPr>
        <w:t>praktyczn</w:t>
      </w:r>
      <w:r w:rsidR="005A0EE2" w:rsidRPr="005A0EE2">
        <w:rPr>
          <w:rFonts w:asciiTheme="minorHAnsi" w:hAnsiTheme="minorHAnsi" w:cstheme="minorHAnsi"/>
          <w:sz w:val="20"/>
          <w:szCs w:val="20"/>
        </w:rPr>
        <w:t>e</w:t>
      </w:r>
      <w:r w:rsidRPr="005A0EE2">
        <w:rPr>
          <w:rFonts w:asciiTheme="minorHAnsi" w:hAnsiTheme="minorHAnsi" w:cstheme="minorHAnsi"/>
          <w:sz w:val="20"/>
          <w:szCs w:val="20"/>
        </w:rPr>
        <w:t xml:space="preserve"> umiejętności zabezpieczania interesów własnej firmy w klauzulach umownych, w tym eliminowania największych zagrożeń</w:t>
      </w:r>
      <w:r w:rsidR="005A0EE2" w:rsidRPr="005A0EE2">
        <w:rPr>
          <w:rFonts w:asciiTheme="minorHAnsi" w:hAnsiTheme="minorHAnsi" w:cstheme="minorHAnsi"/>
          <w:sz w:val="20"/>
          <w:szCs w:val="20"/>
        </w:rPr>
        <w:t>,</w:t>
      </w:r>
    </w:p>
    <w:p w14:paraId="6BDDBDCF" w14:textId="4CD0B4AF" w:rsidR="00937400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nab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kompetencj</w:t>
      </w:r>
      <w:r w:rsidR="005A0EE2" w:rsidRPr="005A0EE2">
        <w:rPr>
          <w:rFonts w:asciiTheme="minorHAnsi" w:hAnsiTheme="minorHAnsi" w:cstheme="minorHAnsi"/>
          <w:sz w:val="20"/>
          <w:szCs w:val="20"/>
        </w:rPr>
        <w:t>e</w:t>
      </w:r>
      <w:r w:rsidRPr="005A0EE2">
        <w:rPr>
          <w:rFonts w:asciiTheme="minorHAnsi" w:hAnsiTheme="minorHAnsi" w:cstheme="minorHAnsi"/>
          <w:sz w:val="20"/>
          <w:szCs w:val="20"/>
        </w:rPr>
        <w:t xml:space="preserve"> odnośnie samokształcenia się oraz zdobywania niezbędnej wiedzy o klauzulach umownych, pułapkach w umowie, przepisach i ich aktualizacjach, </w:t>
      </w:r>
    </w:p>
    <w:p w14:paraId="34C79886" w14:textId="4A44D562" w:rsidR="00937400" w:rsidRPr="005A0EE2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zdob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kompetencj</w:t>
      </w:r>
      <w:r w:rsidR="005A0EE2" w:rsidRPr="005A0EE2">
        <w:rPr>
          <w:rFonts w:asciiTheme="minorHAnsi" w:hAnsiTheme="minorHAnsi" w:cstheme="minorHAnsi"/>
          <w:sz w:val="20"/>
          <w:szCs w:val="20"/>
        </w:rPr>
        <w:t>e</w:t>
      </w:r>
      <w:r w:rsidRPr="005A0EE2">
        <w:rPr>
          <w:rFonts w:asciiTheme="minorHAnsi" w:hAnsiTheme="minorHAnsi" w:cstheme="minorHAnsi"/>
          <w:sz w:val="20"/>
          <w:szCs w:val="20"/>
        </w:rPr>
        <w:t xml:space="preserve"> w zakresie fachowego porozumiewania się z uczestnikami rynku krajowego i rynków zagranicznych,</w:t>
      </w:r>
    </w:p>
    <w:p w14:paraId="68331CED" w14:textId="52996BD6" w:rsidR="00937400" w:rsidRDefault="00937400" w:rsidP="00021A71">
      <w:pPr>
        <w:pStyle w:val="Akapitzlist"/>
        <w:numPr>
          <w:ilvl w:val="0"/>
          <w:numId w:val="10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A0EE2">
        <w:rPr>
          <w:rFonts w:asciiTheme="minorHAnsi" w:hAnsiTheme="minorHAnsi" w:cstheme="minorHAnsi"/>
          <w:sz w:val="20"/>
          <w:szCs w:val="20"/>
        </w:rPr>
        <w:t>zdob</w:t>
      </w:r>
      <w:r w:rsidR="005A0EE2" w:rsidRPr="005A0EE2">
        <w:rPr>
          <w:rFonts w:asciiTheme="minorHAnsi" w:hAnsiTheme="minorHAnsi" w:cstheme="minorHAnsi"/>
          <w:sz w:val="20"/>
          <w:szCs w:val="20"/>
        </w:rPr>
        <w:t>ędą</w:t>
      </w:r>
      <w:r w:rsidRPr="005A0EE2">
        <w:rPr>
          <w:rFonts w:asciiTheme="minorHAnsi" w:hAnsiTheme="minorHAnsi" w:cstheme="minorHAnsi"/>
          <w:sz w:val="20"/>
          <w:szCs w:val="20"/>
        </w:rPr>
        <w:t xml:space="preserve"> kompetenc</w:t>
      </w:r>
      <w:r w:rsidR="005A0EE2" w:rsidRPr="005A0EE2">
        <w:rPr>
          <w:rFonts w:asciiTheme="minorHAnsi" w:hAnsiTheme="minorHAnsi" w:cstheme="minorHAnsi"/>
          <w:sz w:val="20"/>
          <w:szCs w:val="20"/>
        </w:rPr>
        <w:t>je</w:t>
      </w:r>
      <w:r w:rsidRPr="005A0EE2">
        <w:rPr>
          <w:rFonts w:asciiTheme="minorHAnsi" w:hAnsiTheme="minorHAnsi" w:cstheme="minorHAnsi"/>
          <w:sz w:val="20"/>
          <w:szCs w:val="20"/>
        </w:rPr>
        <w:t xml:space="preserve"> rozstrzygania sporów wynikających z różnej interpretacji zapisów umowy.</w:t>
      </w:r>
    </w:p>
    <w:p w14:paraId="62CAC2B6" w14:textId="77777777" w:rsidR="00050E57" w:rsidRPr="005A0EE2" w:rsidRDefault="00050E57" w:rsidP="00050E57">
      <w:pPr>
        <w:pStyle w:val="Akapitzlist"/>
        <w:spacing w:line="276" w:lineRule="auto"/>
        <w:ind w:left="714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ABBCA3F" w14:textId="15A238FC" w:rsidR="00030FF5" w:rsidRPr="00527616" w:rsidRDefault="00030FF5" w:rsidP="00527616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527616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0B70DC37" w14:textId="77777777" w:rsidR="00527616" w:rsidRPr="00BB7455" w:rsidRDefault="00527616" w:rsidP="00527616">
      <w:pPr>
        <w:ind w:right="23"/>
        <w:jc w:val="center"/>
        <w:rPr>
          <w:rFonts w:ascii="Calibri" w:hAnsi="Calibri"/>
          <w:b/>
          <w:iCs/>
          <w:color w:val="244061" w:themeColor="accent1" w:themeShade="80"/>
          <w:sz w:val="28"/>
          <w:szCs w:val="28"/>
        </w:rPr>
      </w:pPr>
    </w:p>
    <w:p w14:paraId="014A950D" w14:textId="77777777" w:rsidR="00BB7455" w:rsidRPr="00CD4803" w:rsidRDefault="00BB7455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  <w:t>AKTUALNE UWARUNKOWANIA PRAWNO-ZWYCZAJOWE UMÓW.</w:t>
      </w:r>
    </w:p>
    <w:p w14:paraId="2544D61C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Nowe rozwiązania prawne dotyczące zawierania umów handlowych</w:t>
      </w:r>
      <w:r>
        <w:rPr>
          <w:rFonts w:asciiTheme="minorHAnsi" w:hAnsiTheme="minorHAnsi"/>
          <w:bCs/>
          <w:iCs/>
          <w:sz w:val="20"/>
          <w:szCs w:val="20"/>
        </w:rPr>
        <w:t>.</w:t>
      </w:r>
      <w:r w:rsidRPr="00BB7455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5CD6C777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Zmiany w zakresie uzansów i zwyczajów handlowych</w:t>
      </w:r>
      <w:r>
        <w:rPr>
          <w:rFonts w:asciiTheme="minorHAnsi" w:hAnsiTheme="minorHAnsi"/>
          <w:bCs/>
          <w:iCs/>
          <w:sz w:val="20"/>
          <w:szCs w:val="20"/>
        </w:rPr>
        <w:t>.</w:t>
      </w:r>
    </w:p>
    <w:p w14:paraId="36AEF6A9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Rozporządzenia PE i Rady stosowane bezpośrednio do zawieranych umów</w:t>
      </w:r>
      <w:r>
        <w:rPr>
          <w:rFonts w:asciiTheme="minorHAnsi" w:hAnsiTheme="minorHAnsi"/>
          <w:bCs/>
          <w:iCs/>
          <w:sz w:val="20"/>
          <w:szCs w:val="20"/>
        </w:rPr>
        <w:t>.</w:t>
      </w:r>
    </w:p>
    <w:p w14:paraId="71398C0E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Konwencja CISG i inne umowy międzynarodowe rozszerzające prawa i obowiązki stron</w:t>
      </w:r>
      <w:r>
        <w:rPr>
          <w:rFonts w:asciiTheme="minorHAnsi" w:hAnsiTheme="minorHAnsi"/>
          <w:bCs/>
          <w:iCs/>
          <w:sz w:val="20"/>
          <w:szCs w:val="20"/>
        </w:rPr>
        <w:t>.</w:t>
      </w:r>
    </w:p>
    <w:p w14:paraId="47BEED0C" w14:textId="77777777" w:rsidR="00BB7455" w:rsidRPr="00BB7455" w:rsidRDefault="00BB7455" w:rsidP="00362356">
      <w:pPr>
        <w:numPr>
          <w:ilvl w:val="0"/>
          <w:numId w:val="2"/>
        </w:numPr>
        <w:spacing w:after="240"/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Zasady pierwszeństwa postanowień prawnych i ich włączania lub wyłączania z umowy</w:t>
      </w:r>
      <w:r>
        <w:rPr>
          <w:rFonts w:asciiTheme="minorHAnsi" w:hAnsiTheme="minorHAnsi"/>
          <w:bCs/>
          <w:iCs/>
          <w:sz w:val="20"/>
          <w:szCs w:val="20"/>
        </w:rPr>
        <w:t>.</w:t>
      </w:r>
    </w:p>
    <w:p w14:paraId="0298B7DC" w14:textId="77777777" w:rsidR="00BB7455" w:rsidRPr="00CD4803" w:rsidRDefault="00976BBF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  <w:t>ZAWIERANIE U</w:t>
      </w:r>
      <w:r w:rsidR="00BB7455" w:rsidRPr="00CD4803"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  <w:t>MÓW W FORMIE OFERTY.</w:t>
      </w:r>
    </w:p>
    <w:p w14:paraId="37D225E0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Proces ofertowy i prawne aspekty oferty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1403C9A3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Oferta handlowa sprzedającego a oferta kupującego</w:t>
      </w:r>
      <w:r>
        <w:rPr>
          <w:rFonts w:asciiTheme="minorHAnsi" w:hAnsiTheme="minorHAnsi"/>
          <w:iCs/>
          <w:sz w:val="20"/>
          <w:szCs w:val="20"/>
        </w:rPr>
        <w:t>.</w:t>
      </w:r>
      <w:r w:rsidRPr="00BB7455">
        <w:rPr>
          <w:rFonts w:asciiTheme="minorHAnsi" w:hAnsiTheme="minorHAnsi"/>
          <w:iCs/>
          <w:sz w:val="20"/>
          <w:szCs w:val="20"/>
        </w:rPr>
        <w:t xml:space="preserve"> </w:t>
      </w:r>
    </w:p>
    <w:p w14:paraId="705B32BA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F</w:t>
      </w:r>
      <w:r w:rsidRPr="00BB7455">
        <w:rPr>
          <w:rFonts w:asciiTheme="minorHAnsi" w:hAnsiTheme="minorHAnsi"/>
          <w:iCs/>
          <w:sz w:val="20"/>
          <w:szCs w:val="20"/>
        </w:rPr>
        <w:t>ormułowanie klauzul zabezpieczających w ofercie i zamówieniu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75B5F278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Zamówienie zmieniające warunki ofertowe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6023CAD2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N</w:t>
      </w:r>
      <w:r w:rsidRPr="00BB7455">
        <w:rPr>
          <w:rFonts w:asciiTheme="minorHAnsi" w:hAnsiTheme="minorHAnsi"/>
          <w:iCs/>
          <w:sz w:val="20"/>
          <w:szCs w:val="20"/>
        </w:rPr>
        <w:t>iebezpieczeństwa związane z ofertami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5828C36A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Cs/>
          <w:iCs/>
          <w:sz w:val="20"/>
          <w:szCs w:val="20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Milcząca akceptacja oferty</w:t>
      </w:r>
      <w:r>
        <w:rPr>
          <w:rFonts w:asciiTheme="minorHAnsi" w:hAnsiTheme="minorHAnsi"/>
          <w:bCs/>
          <w:iCs/>
          <w:sz w:val="20"/>
          <w:szCs w:val="20"/>
        </w:rPr>
        <w:t>.</w:t>
      </w:r>
    </w:p>
    <w:p w14:paraId="2EDD8D47" w14:textId="77777777" w:rsidR="00BB7455" w:rsidRPr="00BB7455" w:rsidRDefault="00BB7455" w:rsidP="00362356">
      <w:pPr>
        <w:numPr>
          <w:ilvl w:val="0"/>
          <w:numId w:val="2"/>
        </w:numPr>
        <w:spacing w:after="240"/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Wycofanie się z wiążącej oferty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0481B97C" w14:textId="77777777" w:rsidR="00BB7455" w:rsidRPr="00CD4803" w:rsidRDefault="00BB7455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  <w:t xml:space="preserve">PREFERENCJE W ZAKRESIE OGÓLNEJ KONCEPCJI UMOWY. </w:t>
      </w:r>
    </w:p>
    <w:p w14:paraId="7FB5719B" w14:textId="62053DC6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 xml:space="preserve">Ustalanie preferencji w zakresie bazy dostawy według </w:t>
      </w:r>
      <w:proofErr w:type="spellStart"/>
      <w:r w:rsidRPr="00BB7455">
        <w:rPr>
          <w:rFonts w:asciiTheme="minorHAnsi" w:hAnsiTheme="minorHAnsi"/>
          <w:iCs/>
          <w:sz w:val="20"/>
          <w:szCs w:val="20"/>
        </w:rPr>
        <w:t>Incoterms</w:t>
      </w:r>
      <w:proofErr w:type="spellEnd"/>
      <w:r>
        <w:rPr>
          <w:rFonts w:asciiTheme="minorHAnsi" w:hAnsiTheme="minorHAnsi"/>
          <w:iCs/>
          <w:sz w:val="20"/>
          <w:szCs w:val="20"/>
        </w:rPr>
        <w:t>.</w:t>
      </w:r>
    </w:p>
    <w:p w14:paraId="6ED443E9" w14:textId="77777777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iCs/>
          <w:sz w:val="20"/>
          <w:szCs w:val="20"/>
        </w:rPr>
        <w:t>Kształtowanie klauzul bazy dostawy a problem wersji zwyczajów.</w:t>
      </w:r>
    </w:p>
    <w:p w14:paraId="603E448B" w14:textId="77777777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iCs/>
          <w:sz w:val="20"/>
          <w:szCs w:val="20"/>
        </w:rPr>
        <w:t>Formułowanie różnego rodzaju zabezpieczeń finansowych.</w:t>
      </w:r>
      <w:r w:rsidRPr="00BB7455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14:paraId="4FD86EEC" w14:textId="77777777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iCs/>
          <w:sz w:val="20"/>
          <w:szCs w:val="20"/>
        </w:rPr>
        <w:t>Wykorzystanie nowych postanowień ustawy o terminach płatności.</w:t>
      </w:r>
    </w:p>
    <w:p w14:paraId="3D243930" w14:textId="77777777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bCs/>
          <w:iCs/>
          <w:sz w:val="20"/>
          <w:szCs w:val="20"/>
        </w:rPr>
        <w:t>Wpływ zmian prawnych na negocjowanie klauzul płatności.</w:t>
      </w:r>
    </w:p>
    <w:p w14:paraId="31B2BE08" w14:textId="77777777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iCs/>
          <w:sz w:val="20"/>
          <w:szCs w:val="20"/>
        </w:rPr>
        <w:t>Zabezpieczenie odroczonej płatności (kredytu kupieckiego).</w:t>
      </w:r>
    </w:p>
    <w:p w14:paraId="3130F959" w14:textId="77777777" w:rsidR="00BB7455" w:rsidRPr="00BB7455" w:rsidRDefault="00BB7455" w:rsidP="00362356">
      <w:pPr>
        <w:numPr>
          <w:ilvl w:val="0"/>
          <w:numId w:val="2"/>
        </w:numPr>
        <w:spacing w:after="240"/>
        <w:ind w:left="697"/>
        <w:jc w:val="both"/>
        <w:rPr>
          <w:rFonts w:asciiTheme="minorHAnsi" w:hAnsiTheme="minorHAnsi"/>
          <w:b/>
          <w:bCs/>
          <w:iCs/>
          <w:sz w:val="20"/>
          <w:szCs w:val="20"/>
          <w:u w:val="single"/>
        </w:rPr>
      </w:pPr>
      <w:r w:rsidRPr="00BB7455">
        <w:rPr>
          <w:rFonts w:asciiTheme="minorHAnsi" w:hAnsiTheme="minorHAnsi"/>
          <w:iCs/>
          <w:sz w:val="20"/>
          <w:szCs w:val="20"/>
        </w:rPr>
        <w:t xml:space="preserve">Problemy związane z klauzulami płatności akredytywą, inkasem, rachunkiem zastrzeżonym. </w:t>
      </w:r>
    </w:p>
    <w:p w14:paraId="3EDA86E7" w14:textId="77777777" w:rsidR="00BB7455" w:rsidRPr="00CD4803" w:rsidRDefault="00BB7455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UNIKANIE BŁĘDÓW W ZAKRESIE DANYCH FORMALNYCH UMÓW.</w:t>
      </w:r>
    </w:p>
    <w:p w14:paraId="60760EE7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Konieczne informacje dotyczące stron umowy i kary za ich brak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2C269C98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Zasady reprezentacji stron i ich weryfikacja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6052438A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Znaczenie preambuły w umowie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4EF5FA8B" w14:textId="77777777" w:rsidR="00BB7455" w:rsidRPr="00BB7455" w:rsidRDefault="00BB7455" w:rsidP="00362356">
      <w:pPr>
        <w:numPr>
          <w:ilvl w:val="0"/>
          <w:numId w:val="2"/>
        </w:numPr>
        <w:spacing w:after="240"/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Formułowanie i zasady analizy definicji w umowie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4D999889" w14:textId="77777777" w:rsidR="00BB7455" w:rsidRPr="00CD4803" w:rsidRDefault="00BB7455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KLAUZULE ZASADNICZE A ISTOTNE ELEMENTY UMÓW.</w:t>
      </w:r>
    </w:p>
    <w:p w14:paraId="187DAB25" w14:textId="77777777" w:rsidR="00BB7455" w:rsidRPr="00FD1F24" w:rsidRDefault="00BB7455" w:rsidP="00E04254">
      <w:pPr>
        <w:numPr>
          <w:ilvl w:val="1"/>
          <w:numId w:val="2"/>
        </w:numPr>
        <w:ind w:left="697" w:hanging="340"/>
        <w:jc w:val="both"/>
        <w:rPr>
          <w:rFonts w:asciiTheme="minorHAnsi" w:hAnsiTheme="minorHAnsi"/>
          <w:bCs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>Określanie przedmiotu umowy (towar, usługa, ilość i jej zmiany).</w:t>
      </w:r>
    </w:p>
    <w:p w14:paraId="281B6915" w14:textId="77777777" w:rsidR="00FD1F24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Tworzenie wzorca jakości w umowie i miejsca jego weryfikacji</w:t>
      </w:r>
      <w:r>
        <w:rPr>
          <w:rFonts w:asciiTheme="minorHAnsi" w:hAnsiTheme="minorHAnsi"/>
          <w:iCs/>
          <w:sz w:val="20"/>
          <w:szCs w:val="20"/>
        </w:rPr>
        <w:t>.</w:t>
      </w:r>
    </w:p>
    <w:p w14:paraId="3E9B1EC6" w14:textId="77777777" w:rsidR="00FD1F24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>Elementy ceny, zapewnienie jej stabilności czy możliwości renegocjacji.</w:t>
      </w:r>
    </w:p>
    <w:p w14:paraId="5FF86B18" w14:textId="77777777" w:rsidR="00FD1F24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>Klauzule rewizji i waloryzacji ceny oraz warunki ich użycia.</w:t>
      </w:r>
    </w:p>
    <w:p w14:paraId="58315767" w14:textId="77777777" w:rsidR="00FD1F24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 xml:space="preserve">Doprecyzowywanie bazy dostawy. </w:t>
      </w:r>
    </w:p>
    <w:p w14:paraId="77F2E288" w14:textId="77777777" w:rsidR="00FD1F24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 xml:space="preserve">Nowe koncepcje klauzul warunków płatności. </w:t>
      </w:r>
    </w:p>
    <w:p w14:paraId="3BE96CA0" w14:textId="77777777" w:rsidR="00FD1F24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>Ustalanie terminu oraz harmonogramów dostaw.</w:t>
      </w:r>
    </w:p>
    <w:p w14:paraId="04F8FB4A" w14:textId="77777777" w:rsidR="00BB7455" w:rsidRDefault="00BB7455" w:rsidP="00362356">
      <w:pPr>
        <w:numPr>
          <w:ilvl w:val="0"/>
          <w:numId w:val="2"/>
        </w:numPr>
        <w:spacing w:after="240"/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FD1F24">
        <w:rPr>
          <w:rFonts w:asciiTheme="minorHAnsi" w:hAnsiTheme="minorHAnsi"/>
          <w:iCs/>
          <w:sz w:val="20"/>
          <w:szCs w:val="20"/>
        </w:rPr>
        <w:t>Ubezpieczenie cargo według nowych warunków.</w:t>
      </w:r>
    </w:p>
    <w:p w14:paraId="620E8681" w14:textId="77777777" w:rsidR="00BB7455" w:rsidRPr="00CD4803" w:rsidRDefault="00BB7455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bCs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PRAWIDŁOWE FORMUŁOWANIE OGÓLNYCH WARUNKÓW UMOWY</w:t>
      </w:r>
      <w:r w:rsidR="00056EF5"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.</w:t>
      </w:r>
    </w:p>
    <w:p w14:paraId="624AFE7E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Klauzule zawieszające wyłączające oraz interpretujące w umowie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72121CBC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Uzgadnianie warunków kontroli i odbioru zabezpieczających interesy kupującego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3BE546E4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Klauzule gwarancyjne oraz postępowania reklamacyjnego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65DD7690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Zapisy zmieniające odpowiedzialność za jakość z mocy pra</w:t>
      </w:r>
      <w:r w:rsidR="00056EF5">
        <w:rPr>
          <w:rFonts w:asciiTheme="minorHAnsi" w:hAnsiTheme="minorHAnsi"/>
          <w:iCs/>
          <w:sz w:val="20"/>
          <w:szCs w:val="20"/>
        </w:rPr>
        <w:t>wa  (nowa rękojmia, CISG, inne).</w:t>
      </w:r>
    </w:p>
    <w:p w14:paraId="7C1A5511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Formułowanie klauzul kar umownych, roszczeń uzupełniających, limitów odpowiedzialności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193E5674" w14:textId="77777777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Używanie terminów zwłoka i opóźnienie w wykonaniu umowy krajowej i zagranicznej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07875B90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Klauzule siły wyższej według interpretacji modelowych ICC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6ED0585C" w14:textId="10E8508C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Wybór prawa właściwego zgodne z Rozporządzeniem PE i Rady</w:t>
      </w:r>
      <w:r w:rsidR="00056EF5">
        <w:rPr>
          <w:rFonts w:asciiTheme="minorHAnsi" w:hAnsiTheme="minorHAnsi"/>
          <w:iCs/>
          <w:sz w:val="20"/>
          <w:szCs w:val="20"/>
        </w:rPr>
        <w:t>.</w:t>
      </w:r>
      <w:r w:rsidRPr="00BB7455">
        <w:rPr>
          <w:rFonts w:asciiTheme="minorHAnsi" w:hAnsiTheme="minorHAnsi"/>
          <w:iCs/>
          <w:sz w:val="20"/>
          <w:szCs w:val="20"/>
        </w:rPr>
        <w:t xml:space="preserve"> </w:t>
      </w:r>
    </w:p>
    <w:p w14:paraId="49DAB257" w14:textId="27B5B90F" w:rsid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Wskazanie sądu państwowego lub arbitrażowego a problem uznawalności ich wyroków</w:t>
      </w:r>
      <w:r w:rsidR="00056EF5">
        <w:rPr>
          <w:rFonts w:asciiTheme="minorHAnsi" w:hAnsiTheme="minorHAnsi"/>
          <w:iCs/>
          <w:sz w:val="20"/>
          <w:szCs w:val="20"/>
        </w:rPr>
        <w:t>.</w:t>
      </w:r>
      <w:r w:rsidRPr="00BB7455">
        <w:rPr>
          <w:rFonts w:asciiTheme="minorHAnsi" w:hAnsiTheme="minorHAnsi"/>
          <w:iCs/>
          <w:sz w:val="20"/>
          <w:szCs w:val="20"/>
        </w:rPr>
        <w:t xml:space="preserve"> </w:t>
      </w:r>
    </w:p>
    <w:p w14:paraId="01893F9B" w14:textId="0959D7E8" w:rsidR="00527616" w:rsidRDefault="00527616" w:rsidP="00527616">
      <w:pPr>
        <w:jc w:val="both"/>
        <w:rPr>
          <w:rFonts w:asciiTheme="minorHAnsi" w:hAnsiTheme="minorHAnsi"/>
          <w:iCs/>
          <w:sz w:val="20"/>
          <w:szCs w:val="20"/>
        </w:rPr>
      </w:pPr>
    </w:p>
    <w:p w14:paraId="56BC9468" w14:textId="77777777" w:rsidR="00527616" w:rsidRDefault="00527616" w:rsidP="00527616">
      <w:pPr>
        <w:jc w:val="both"/>
        <w:rPr>
          <w:rFonts w:asciiTheme="minorHAnsi" w:hAnsiTheme="minorHAnsi"/>
          <w:iCs/>
          <w:sz w:val="20"/>
          <w:szCs w:val="20"/>
        </w:rPr>
      </w:pPr>
    </w:p>
    <w:p w14:paraId="65F88341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Włączanie do umowy prawa kraju trzeciego i ponadnarodowego (PECL, PICC)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09D031AE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Formułowanie klauzul praw autorskich, poufności, sankcji za ujawnienie tajemnicy przedsiębiorcy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130E8441" w14:textId="77777777" w:rsidR="00BB7455" w:rsidRPr="00BB7455" w:rsidRDefault="00BB7455" w:rsidP="00362356">
      <w:pPr>
        <w:numPr>
          <w:ilvl w:val="0"/>
          <w:numId w:val="2"/>
        </w:numPr>
        <w:spacing w:after="240"/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Klauzule wypowiedzenia umowy, a problem jej rozwiązania i odstąpienia od niej</w:t>
      </w:r>
      <w:r w:rsidR="00056EF5">
        <w:rPr>
          <w:rFonts w:asciiTheme="minorHAnsi" w:hAnsiTheme="minorHAnsi"/>
          <w:iCs/>
          <w:sz w:val="20"/>
          <w:szCs w:val="20"/>
        </w:rPr>
        <w:t>.</w:t>
      </w:r>
      <w:r w:rsidRPr="00BB7455">
        <w:rPr>
          <w:rFonts w:asciiTheme="minorHAnsi" w:hAnsiTheme="minorHAnsi"/>
          <w:iCs/>
          <w:sz w:val="20"/>
          <w:szCs w:val="20"/>
        </w:rPr>
        <w:t xml:space="preserve"> </w:t>
      </w:r>
    </w:p>
    <w:p w14:paraId="2EF47340" w14:textId="77777777" w:rsidR="00BB7455" w:rsidRPr="00CD4803" w:rsidRDefault="00237768" w:rsidP="00362356">
      <w:pPr>
        <w:pStyle w:val="Akapitzlist"/>
        <w:numPr>
          <w:ilvl w:val="0"/>
          <w:numId w:val="4"/>
        </w:numPr>
        <w:spacing w:after="120"/>
        <w:ind w:left="357" w:hanging="357"/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</w:pPr>
      <w:r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PUŁAPKI i NAJCZĘŚC</w:t>
      </w:r>
      <w:r w:rsidR="00BB7455"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IEJ WYSTĘPUJĄCE BŁĘDY W UMOWACH</w:t>
      </w:r>
      <w:r w:rsidR="00056EF5" w:rsidRPr="00CD4803">
        <w:rPr>
          <w:rFonts w:asciiTheme="minorHAnsi" w:hAnsiTheme="minorHAnsi"/>
          <w:b/>
          <w:iCs/>
          <w:color w:val="17365D" w:themeColor="text2" w:themeShade="BF"/>
          <w:sz w:val="20"/>
          <w:szCs w:val="20"/>
        </w:rPr>
        <w:t>.</w:t>
      </w:r>
    </w:p>
    <w:p w14:paraId="72F63C95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Włączanie do umów ogólnych warunków, udostępnianych jedynie na stronie www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6B7F1444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Zasada świadomego pomijania zapisów jako zabezpieczenie w umowie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05396387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Wyłączanie Konwencji CISG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05ABD809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Pułapki związane z karami umownymi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2C8B8845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Manipulacje przy wyborze sądu i prawa właściwego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7FF77EFA" w14:textId="77777777" w:rsidR="00BB7455" w:rsidRPr="00BB7455" w:rsidRDefault="00BB7455" w:rsidP="00E04254">
      <w:pPr>
        <w:numPr>
          <w:ilvl w:val="0"/>
          <w:numId w:val="2"/>
        </w:numPr>
        <w:ind w:left="697"/>
        <w:jc w:val="both"/>
        <w:rPr>
          <w:rFonts w:asciiTheme="minorHAnsi" w:hAnsiTheme="minorHAnsi"/>
          <w:iCs/>
          <w:sz w:val="20"/>
          <w:szCs w:val="20"/>
        </w:rPr>
      </w:pPr>
      <w:r w:rsidRPr="00BB7455">
        <w:rPr>
          <w:rFonts w:asciiTheme="minorHAnsi" w:hAnsiTheme="minorHAnsi"/>
          <w:iCs/>
          <w:sz w:val="20"/>
          <w:szCs w:val="20"/>
        </w:rPr>
        <w:t>Niebezpieczeństwa związane z możliwością zmiany postanowień umownych</w:t>
      </w:r>
      <w:r w:rsidR="00056EF5">
        <w:rPr>
          <w:rFonts w:asciiTheme="minorHAnsi" w:hAnsiTheme="minorHAnsi"/>
          <w:iCs/>
          <w:sz w:val="20"/>
          <w:szCs w:val="20"/>
        </w:rPr>
        <w:t>.</w:t>
      </w:r>
    </w:p>
    <w:p w14:paraId="54CF3AB3" w14:textId="77777777" w:rsidR="00BB7455" w:rsidRPr="00BB7455" w:rsidRDefault="00BB7455" w:rsidP="00BB7455">
      <w:pPr>
        <w:rPr>
          <w:rFonts w:asciiTheme="minorHAnsi" w:hAnsiTheme="minorHAnsi"/>
          <w:b/>
          <w:iCs/>
          <w:sz w:val="20"/>
          <w:szCs w:val="20"/>
        </w:rPr>
      </w:pPr>
    </w:p>
    <w:p w14:paraId="2D0BC4DD" w14:textId="207D1328" w:rsidR="00BB7455" w:rsidRPr="00000935" w:rsidRDefault="00BB7455" w:rsidP="00BB7455">
      <w:pPr>
        <w:rPr>
          <w:rFonts w:asciiTheme="minorHAnsi" w:hAnsiTheme="minorHAnsi"/>
          <w:b/>
          <w:iCs/>
          <w:color w:val="244061" w:themeColor="accent1" w:themeShade="80"/>
          <w:sz w:val="20"/>
          <w:szCs w:val="20"/>
        </w:rPr>
      </w:pPr>
      <w:r w:rsidRPr="00000935">
        <w:rPr>
          <w:rFonts w:asciiTheme="minorHAnsi" w:hAnsiTheme="minorHAnsi"/>
          <w:b/>
          <w:iCs/>
          <w:color w:val="244061" w:themeColor="accent1" w:themeShade="80"/>
          <w:sz w:val="20"/>
          <w:szCs w:val="20"/>
        </w:rPr>
        <w:t>ANALIZA ZAPISÓW UMÓW</w:t>
      </w:r>
      <w:r w:rsidR="00000935">
        <w:rPr>
          <w:rFonts w:asciiTheme="minorHAnsi" w:hAnsiTheme="minorHAnsi"/>
          <w:b/>
          <w:iCs/>
          <w:color w:val="244061" w:themeColor="accent1" w:themeShade="80"/>
          <w:sz w:val="20"/>
          <w:szCs w:val="20"/>
        </w:rPr>
        <w:t>.</w:t>
      </w:r>
    </w:p>
    <w:p w14:paraId="378C11FA" w14:textId="77777777" w:rsidR="00BB7455" w:rsidRDefault="00BB7455" w:rsidP="00E04254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/>
          <w:iCs/>
          <w:sz w:val="20"/>
          <w:szCs w:val="20"/>
        </w:rPr>
      </w:pPr>
      <w:r w:rsidRPr="00000935">
        <w:rPr>
          <w:rFonts w:asciiTheme="minorHAnsi" w:hAnsiTheme="minorHAnsi"/>
          <w:iCs/>
          <w:sz w:val="20"/>
          <w:szCs w:val="20"/>
        </w:rPr>
        <w:t>Praktyczna analiza zapisów umownych i wywołanych przez nie konsekwencji (na przykładach różnych umów)</w:t>
      </w:r>
      <w:r w:rsidR="00000935">
        <w:rPr>
          <w:rFonts w:asciiTheme="minorHAnsi" w:hAnsiTheme="minorHAnsi"/>
          <w:iCs/>
          <w:sz w:val="20"/>
          <w:szCs w:val="20"/>
        </w:rPr>
        <w:t>.</w:t>
      </w:r>
    </w:p>
    <w:p w14:paraId="139A666F" w14:textId="77777777" w:rsidR="00D776CD" w:rsidRDefault="00D776CD" w:rsidP="00D776CD">
      <w:pPr>
        <w:pStyle w:val="Akapitzlist"/>
        <w:ind w:left="357"/>
        <w:rPr>
          <w:rFonts w:asciiTheme="minorHAnsi" w:hAnsiTheme="minorHAnsi"/>
          <w:iCs/>
          <w:sz w:val="20"/>
          <w:szCs w:val="20"/>
        </w:rPr>
      </w:pPr>
    </w:p>
    <w:p w14:paraId="25587629" w14:textId="77777777" w:rsidR="00D776CD" w:rsidRPr="00D776CD" w:rsidRDefault="00D776CD" w:rsidP="00D776CD">
      <w:pPr>
        <w:rPr>
          <w:rFonts w:ascii="Calibri" w:hAnsi="Calibri"/>
          <w:bCs/>
          <w:i/>
          <w:iCs/>
          <w:sz w:val="18"/>
          <w:szCs w:val="18"/>
        </w:rPr>
      </w:pPr>
      <w:r w:rsidRPr="00D776CD">
        <w:rPr>
          <w:rFonts w:ascii="Calibri" w:hAnsi="Calibri"/>
          <w:bCs/>
          <w:i/>
          <w:iCs/>
          <w:sz w:val="18"/>
          <w:szCs w:val="18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Uczestnicy otrzymują obszerny komplet materiałów do wykorzystania w praktyce. </w:t>
      </w:r>
    </w:p>
    <w:p w14:paraId="4DB9C176" w14:textId="77777777" w:rsidR="00D776CD" w:rsidRDefault="00D776CD" w:rsidP="00D776CD">
      <w:pPr>
        <w:pStyle w:val="Akapitzlist"/>
        <w:ind w:left="357"/>
        <w:rPr>
          <w:rFonts w:asciiTheme="minorHAnsi" w:hAnsiTheme="minorHAnsi"/>
          <w:iCs/>
          <w:sz w:val="20"/>
          <w:szCs w:val="20"/>
        </w:rPr>
      </w:pPr>
    </w:p>
    <w:p w14:paraId="6A3F990B" w14:textId="77777777" w:rsidR="00BB7455" w:rsidRPr="00000935" w:rsidRDefault="00BB7455" w:rsidP="00E04254">
      <w:pPr>
        <w:pStyle w:val="Akapitzlist"/>
        <w:numPr>
          <w:ilvl w:val="0"/>
          <w:numId w:val="6"/>
        </w:numPr>
        <w:ind w:left="357" w:hanging="357"/>
        <w:rPr>
          <w:rFonts w:asciiTheme="minorHAnsi" w:hAnsiTheme="minorHAnsi"/>
          <w:iCs/>
          <w:sz w:val="20"/>
          <w:szCs w:val="20"/>
        </w:rPr>
      </w:pPr>
      <w:r w:rsidRPr="00000935">
        <w:rPr>
          <w:rFonts w:asciiTheme="minorHAnsi" w:hAnsiTheme="minorHAnsi"/>
          <w:b/>
          <w:iCs/>
          <w:sz w:val="20"/>
          <w:szCs w:val="20"/>
        </w:rPr>
        <w:t>DODATKOWO!</w:t>
      </w:r>
      <w:r w:rsidRPr="00000935">
        <w:rPr>
          <w:rFonts w:asciiTheme="minorHAnsi" w:hAnsiTheme="minorHAnsi"/>
          <w:iCs/>
          <w:sz w:val="20"/>
          <w:szCs w:val="20"/>
        </w:rPr>
        <w:t xml:space="preserve"> Konsultacje po szkoleniu przez Internet. </w:t>
      </w:r>
    </w:p>
    <w:p w14:paraId="24DF1849" w14:textId="77777777" w:rsidR="00BB7455" w:rsidRDefault="00BB7455" w:rsidP="00EE2CBA">
      <w:pPr>
        <w:pStyle w:val="Akapitzlist"/>
        <w:numPr>
          <w:ilvl w:val="0"/>
          <w:numId w:val="6"/>
        </w:numPr>
        <w:spacing w:after="120"/>
        <w:ind w:left="357" w:hanging="357"/>
        <w:rPr>
          <w:rFonts w:asciiTheme="minorHAnsi" w:hAnsiTheme="minorHAnsi"/>
          <w:iCs/>
          <w:sz w:val="20"/>
          <w:szCs w:val="20"/>
        </w:rPr>
      </w:pPr>
      <w:r w:rsidRPr="00000935">
        <w:rPr>
          <w:rFonts w:asciiTheme="minorHAnsi" w:hAnsiTheme="minorHAnsi"/>
          <w:b/>
          <w:iCs/>
          <w:sz w:val="20"/>
          <w:szCs w:val="20"/>
        </w:rPr>
        <w:t>NOWOŚĆ!</w:t>
      </w:r>
      <w:r w:rsidRPr="00000935">
        <w:rPr>
          <w:rFonts w:asciiTheme="minorHAnsi" w:hAnsiTheme="minorHAnsi"/>
          <w:iCs/>
          <w:sz w:val="20"/>
          <w:szCs w:val="20"/>
        </w:rPr>
        <w:t xml:space="preserve">  Zachęcamy uczestników do przesyłania pytań na min. 10 dni przed szkoleniem.</w:t>
      </w:r>
    </w:p>
    <w:p w14:paraId="1DB36178" w14:textId="77777777" w:rsidR="00362356" w:rsidRDefault="00362356" w:rsidP="00362356">
      <w:pPr>
        <w:pStyle w:val="Akapitzlist"/>
        <w:spacing w:after="120"/>
        <w:ind w:left="357"/>
        <w:rPr>
          <w:rFonts w:asciiTheme="minorHAnsi" w:hAnsiTheme="minorHAnsi"/>
          <w:b/>
          <w:iCs/>
          <w:sz w:val="20"/>
          <w:szCs w:val="20"/>
        </w:rPr>
      </w:pPr>
    </w:p>
    <w:p w14:paraId="05AEEDDF" w14:textId="77777777" w:rsidR="00362356" w:rsidRPr="008305F1" w:rsidRDefault="00362356" w:rsidP="009D1CD1">
      <w:pPr>
        <w:shd w:val="clear" w:color="auto" w:fill="244061" w:themeFill="accent1" w:themeFillShade="80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2"/>
          <w:szCs w:val="22"/>
        </w:rPr>
      </w:pPr>
      <w:r>
        <w:rPr>
          <w:rFonts w:ascii="Calibri" w:hAnsi="Calibri"/>
          <w:b/>
          <w:color w:val="FFFFFF" w:themeColor="background1"/>
          <w:sz w:val="22"/>
          <w:szCs w:val="22"/>
        </w:rPr>
        <w:t xml:space="preserve">PROWADZĄCY: Dr </w:t>
      </w:r>
      <w:r w:rsidRPr="008305F1">
        <w:rPr>
          <w:rFonts w:ascii="Calibri" w:hAnsi="Calibri"/>
          <w:b/>
          <w:color w:val="FFFFFF" w:themeColor="background1"/>
          <w:sz w:val="22"/>
          <w:szCs w:val="22"/>
        </w:rPr>
        <w:t>Wojciech Budzyński</w:t>
      </w:r>
      <w:r w:rsidRPr="008305F1">
        <w:rPr>
          <w:rFonts w:ascii="Calibri" w:hAnsi="Calibri"/>
          <w:color w:val="FFFFFF" w:themeColor="background1"/>
          <w:sz w:val="22"/>
          <w:szCs w:val="22"/>
        </w:rPr>
        <w:t xml:space="preserve">. </w:t>
      </w:r>
    </w:p>
    <w:p w14:paraId="22E83D1C" w14:textId="66306452" w:rsidR="00362356" w:rsidRDefault="00362356" w:rsidP="005C19F3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</w:t>
      </w:r>
      <w:r w:rsidR="005C19F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w handlowych </w:t>
      </w: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z partnerem krajowym </w:t>
      </w:r>
      <w:r w:rsidR="005C19F3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        </w:t>
      </w: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i zagranicznym. Wiedzę praktyczną zdobywał przez ponad 30 lat jako handlowiec, dyrektor firmy handlowej, kolejno szef jej dwóch oddziałów za granicą, doradca ministra, starszy ekspert Banku Światowego. Zagadnieniami tymi zajmuje się zarówno </w:t>
      </w:r>
      <w:r w:rsidR="009D1CD1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</w:t>
      </w:r>
      <w:r w:rsidR="00AA0919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</w:t>
      </w:r>
      <w:r w:rsidRPr="00A35791">
        <w:rPr>
          <w:rFonts w:asciiTheme="minorHAnsi" w:hAnsiTheme="minorHAnsi"/>
          <w:b/>
          <w:bCs/>
          <w:sz w:val="20"/>
          <w:szCs w:val="20"/>
          <w:lang w:eastAsia="en-US"/>
        </w:rPr>
        <w:t>w sposób praktyczny, jak i naukowy, pracując w Szkole Głównej Handlowej w Warszawie.</w:t>
      </w:r>
      <w:r w:rsidRPr="00A35791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427D1E62" w14:textId="77777777" w:rsidR="005C19F3" w:rsidRDefault="00362356" w:rsidP="005C19F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A35791">
        <w:rPr>
          <w:rFonts w:asciiTheme="minorHAnsi" w:hAnsiTheme="minorHAnsi"/>
          <w:sz w:val="20"/>
          <w:szCs w:val="20"/>
          <w:lang w:eastAsia="en-US"/>
        </w:rPr>
        <w:t>Jest długoletnim doradcą wielu firm polskich i międzynarodowych korporacji w Polsce, w tym w zakresie negocjacji z partnerami zagranicznymi oraz analizy umów pod względem pułapek i niek</w:t>
      </w:r>
      <w:r w:rsidR="005C19F3">
        <w:rPr>
          <w:rFonts w:asciiTheme="minorHAnsi" w:hAnsiTheme="minorHAnsi"/>
          <w:sz w:val="20"/>
          <w:szCs w:val="20"/>
          <w:lang w:eastAsia="en-US"/>
        </w:rPr>
        <w:t>orzystnych sformułowań. P</w:t>
      </w:r>
      <w:r w:rsidRPr="00A35791">
        <w:rPr>
          <w:rFonts w:asciiTheme="minorHAnsi" w:hAnsiTheme="minorHAnsi"/>
          <w:sz w:val="20"/>
          <w:szCs w:val="20"/>
          <w:lang w:eastAsia="en-US"/>
        </w:rPr>
        <w:t>rzeszkolił kilkadziesiąt tysięcy menedżerów i handlowców. Prowadził negocjacje handlowe z przedstawicielami różnych ku</w:t>
      </w:r>
      <w:r w:rsidR="005C19F3">
        <w:rPr>
          <w:rFonts w:asciiTheme="minorHAnsi" w:hAnsiTheme="minorHAnsi"/>
          <w:sz w:val="20"/>
          <w:szCs w:val="20"/>
          <w:lang w:eastAsia="en-US"/>
        </w:rPr>
        <w:t>ltur, na wielu rynkach zagranicznych</w:t>
      </w:r>
      <w:r w:rsidRPr="00A35791">
        <w:rPr>
          <w:rFonts w:asciiTheme="minorHAnsi" w:hAnsiTheme="minorHAnsi"/>
          <w:sz w:val="20"/>
          <w:szCs w:val="20"/>
          <w:lang w:eastAsia="en-US"/>
        </w:rPr>
        <w:t xml:space="preserve">. </w:t>
      </w:r>
    </w:p>
    <w:p w14:paraId="55036CD1" w14:textId="77777777" w:rsidR="00362356" w:rsidRPr="00A35791" w:rsidRDefault="005C19F3" w:rsidP="005C19F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Autor licznych pozycji książkowych </w:t>
      </w:r>
      <w:r w:rsidR="00362356" w:rsidRPr="00A35791">
        <w:rPr>
          <w:rFonts w:asciiTheme="minorHAnsi" w:hAnsiTheme="minorHAnsi"/>
          <w:sz w:val="20"/>
          <w:szCs w:val="20"/>
          <w:lang w:eastAsia="en-US"/>
        </w:rPr>
        <w:t>poświęconych tematyce handlowej, m.in.: „Eksport w przedsiębiorstwie” (2016), „Zakupy                                      w przedsiębiorstwie” (2016) „Negocjowanie i zawieranie umów handlowych.” (wydanie elektroniczne EBOOK 201</w:t>
      </w:r>
      <w:r w:rsidR="00362356">
        <w:rPr>
          <w:rFonts w:asciiTheme="minorHAnsi" w:hAnsiTheme="minorHAnsi"/>
          <w:sz w:val="20"/>
          <w:szCs w:val="20"/>
          <w:lang w:eastAsia="en-US"/>
        </w:rPr>
        <w:t xml:space="preserve">5),  „Umowy w handlu krajowym </w:t>
      </w:r>
      <w:r w:rsidR="00362356" w:rsidRPr="00A35791">
        <w:rPr>
          <w:rFonts w:asciiTheme="minorHAnsi" w:hAnsiTheme="minorHAnsi"/>
          <w:sz w:val="20"/>
          <w:szCs w:val="20"/>
          <w:lang w:eastAsia="en-US"/>
        </w:rPr>
        <w:t xml:space="preserve">i zagranicznym. Nowe bazy dostawy, pułapki, zabezpieczenia.” (2015), „Negocjowanie i zawieranie umów handlowych. Analiza uwarunkowań, </w:t>
      </w:r>
      <w:proofErr w:type="spellStart"/>
      <w:r w:rsidR="00362356" w:rsidRPr="00A35791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="00362356" w:rsidRPr="00A35791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="00362356" w:rsidRPr="00A35791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="00362356" w:rsidRPr="00A35791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="00362356" w:rsidRPr="00A35791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="00362356" w:rsidRPr="00A35791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="00362356" w:rsidRPr="00A35791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="00362356" w:rsidRPr="00A35791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="00362356" w:rsidRPr="00A35791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="00362356" w:rsidRPr="00A35791">
        <w:rPr>
          <w:rFonts w:asciiTheme="minorHAnsi" w:hAnsiTheme="minorHAnsi"/>
          <w:sz w:val="20"/>
          <w:szCs w:val="20"/>
          <w:lang w:eastAsia="en-US"/>
        </w:rPr>
        <w:t>.”</w:t>
      </w:r>
    </w:p>
    <w:p w14:paraId="7F72783F" w14:textId="77777777" w:rsidR="00362356" w:rsidRDefault="00362356" w:rsidP="00362356">
      <w:pPr>
        <w:pStyle w:val="Akapitzlist"/>
        <w:spacing w:after="120"/>
        <w:ind w:left="357"/>
        <w:rPr>
          <w:rFonts w:asciiTheme="minorHAnsi" w:hAnsiTheme="minorHAnsi"/>
          <w:b/>
          <w:iCs/>
          <w:sz w:val="20"/>
          <w:szCs w:val="20"/>
        </w:rPr>
      </w:pPr>
    </w:p>
    <w:p w14:paraId="657BFF6C" w14:textId="77777777" w:rsidR="00362356" w:rsidRPr="00000935" w:rsidRDefault="00362356" w:rsidP="00362356">
      <w:pPr>
        <w:pStyle w:val="Akapitzlist"/>
        <w:spacing w:after="120"/>
        <w:ind w:left="357"/>
        <w:rPr>
          <w:rFonts w:asciiTheme="minorHAnsi" w:hAnsiTheme="minorHAnsi"/>
          <w:iCs/>
          <w:sz w:val="20"/>
          <w:szCs w:val="20"/>
        </w:rPr>
      </w:pPr>
    </w:p>
    <w:p w14:paraId="6102B9DC" w14:textId="77777777" w:rsidR="00BB7455" w:rsidRPr="00BB7455" w:rsidRDefault="00BB7455" w:rsidP="00BB7455">
      <w:pPr>
        <w:rPr>
          <w:rFonts w:asciiTheme="minorHAnsi" w:hAnsiTheme="minorHAnsi"/>
          <w:i/>
          <w:iCs/>
          <w:sz w:val="20"/>
          <w:szCs w:val="20"/>
        </w:rPr>
      </w:pPr>
    </w:p>
    <w:p w14:paraId="40A10EC7" w14:textId="33318B19" w:rsidR="00576AA2" w:rsidRDefault="00576AA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EB2112E" w14:textId="6049D60B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BA55704" w14:textId="6107E0F5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64E132A" w14:textId="7C41E4E8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6F79065" w14:textId="626B2CC2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4A105EA" w14:textId="706CAA03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3C32449" w14:textId="4053CD46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9F6DE94" w14:textId="3EC5C00A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365052B" w14:textId="15840BAE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05C0C983" w14:textId="4FFF5C03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279CC7D" w14:textId="65A69260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24A6B34" w14:textId="3BFF8D2C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5D79E4F" w14:textId="4BE127EC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17C55FCE" w14:textId="09F917DD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34152B57" w14:textId="2B2C68F8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1C3CD0E" w14:textId="2F9E7F8F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E9052E2" w14:textId="31C8A250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907946D" w14:textId="32D610BC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594CCEF1" w14:textId="72ABDACD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45F5CFDA" w14:textId="77777777" w:rsidR="005A0EE2" w:rsidRDefault="005A0EE2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DC0CAAC" w14:textId="77777777" w:rsidR="009D1CD1" w:rsidRDefault="009D1CD1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82C1547" w14:textId="77777777" w:rsidR="009D1CD1" w:rsidRDefault="009D1CD1" w:rsidP="005C0EFE">
      <w:pPr>
        <w:pStyle w:val="Tekstpodstawowy2"/>
        <w:rPr>
          <w:rFonts w:ascii="Calibri" w:hAnsi="Calibri"/>
          <w:i/>
          <w:iCs/>
          <w:sz w:val="10"/>
          <w:szCs w:val="10"/>
        </w:rPr>
        <w:sectPr w:rsidR="009D1CD1" w:rsidSect="009D1CD1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E393B1A" w14:textId="1B9636CF" w:rsidR="005C0EFE" w:rsidRDefault="005C0EFE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6CC156E6" w14:textId="46183AB9" w:rsidR="00527616" w:rsidRDefault="00527616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2A919ED4" w14:textId="2F86F9C4" w:rsidR="00FE7687" w:rsidRDefault="00FE7687" w:rsidP="005C0EFE">
      <w:pPr>
        <w:pStyle w:val="Tekstpodstawowy2"/>
        <w:rPr>
          <w:rFonts w:ascii="Calibri" w:hAnsi="Calibri"/>
          <w:i/>
          <w:iCs/>
          <w:sz w:val="10"/>
          <w:szCs w:val="10"/>
        </w:rPr>
      </w:pPr>
    </w:p>
    <w:p w14:paraId="749D4D60" w14:textId="77777777" w:rsidR="009D1CD1" w:rsidRPr="00B137F2" w:rsidRDefault="009D1CD1" w:rsidP="009D1CD1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51AE62AC" w14:textId="77777777" w:rsidR="009D1CD1" w:rsidRPr="00021A71" w:rsidRDefault="009D1CD1" w:rsidP="009D1CD1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021A71">
        <w:rPr>
          <w:rFonts w:ascii="Calibri" w:hAnsi="Calibri"/>
          <w:b/>
          <w:bCs/>
          <w:color w:val="FFFFFF"/>
          <w:sz w:val="18"/>
          <w:szCs w:val="18"/>
        </w:rPr>
        <w:t xml:space="preserve">SZKOLENIA ZAMKNIĘTE </w:t>
      </w:r>
    </w:p>
    <w:p w14:paraId="0B82A3BA" w14:textId="3E21006D" w:rsidR="009D1CD1" w:rsidRPr="00021A71" w:rsidRDefault="009D1CD1" w:rsidP="00A26343">
      <w:pPr>
        <w:shd w:val="clear" w:color="auto" w:fill="244061" w:themeFill="accent1" w:themeFillShade="80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021A71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TEGO SZKOLENIA W SWOJEJ FIRMIE </w:t>
      </w:r>
      <w:r w:rsidR="004148E9" w:rsidRPr="00021A71">
        <w:rPr>
          <w:rFonts w:ascii="Calibri" w:hAnsi="Calibri"/>
          <w:b/>
          <w:bCs/>
          <w:color w:val="FFFF00"/>
          <w:sz w:val="18"/>
          <w:szCs w:val="18"/>
        </w:rPr>
        <w:t>(TAKŻE ONLINE)</w:t>
      </w:r>
      <w:r w:rsidR="004148E9" w:rsidRPr="00021A71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021A71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</w:t>
      </w:r>
      <w:r w:rsidRPr="00021A71">
        <w:rPr>
          <w:rFonts w:ascii="Calibri" w:hAnsi="Calibri"/>
          <w:b/>
          <w:bCs/>
          <w:color w:val="FFFFFF"/>
          <w:sz w:val="18"/>
          <w:szCs w:val="18"/>
        </w:rPr>
        <w:t>PROSIMY O KONTAKT TELEFONICZNY: 22 853 35 23, TEL. KOM.: 607 573 053 LUB E-MAIL: atl@atl.edu.pl</w:t>
      </w:r>
    </w:p>
    <w:p w14:paraId="2DCFDFB4" w14:textId="77777777" w:rsidR="009D1CD1" w:rsidRPr="00085A35" w:rsidRDefault="009D1CD1" w:rsidP="001A3185">
      <w:pPr>
        <w:shd w:val="clear" w:color="auto" w:fill="244061" w:themeFill="accent1" w:themeFillShade="80"/>
        <w:ind w:right="6"/>
        <w:rPr>
          <w:rFonts w:ascii="Calibri" w:hAnsi="Calibri"/>
          <w:b/>
          <w:bCs/>
          <w:color w:val="FFFFFF"/>
          <w:sz w:val="19"/>
        </w:rPr>
      </w:pPr>
    </w:p>
    <w:p w14:paraId="1F4E9039" w14:textId="036B4A90" w:rsidR="00513186" w:rsidRDefault="009D1CD1" w:rsidP="00281F9B">
      <w:pPr>
        <w:pStyle w:val="Tekstpodstawowy2"/>
        <w:spacing w:before="120"/>
        <w:jc w:val="both"/>
        <w:rPr>
          <w:rFonts w:ascii="Calibri" w:hAnsi="Calibri"/>
          <w:i/>
          <w:iCs/>
          <w:szCs w:val="16"/>
        </w:rPr>
      </w:pPr>
      <w:r w:rsidRPr="001A3185">
        <w:rPr>
          <w:rFonts w:ascii="Calibri" w:hAnsi="Calibr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274B00D2" w14:textId="77777777" w:rsidR="00FE7687" w:rsidRDefault="00FE7687" w:rsidP="00FE7687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FE7687" w:rsidSect="009D1CD1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1A6F36AC" w14:textId="77777777" w:rsidR="00EC26C5" w:rsidRDefault="00EC26C5" w:rsidP="00780AA7">
      <w:pPr>
        <w:pStyle w:val="Tekstpodstawowy2"/>
        <w:rPr>
          <w:rFonts w:ascii="Calibri" w:hAnsi="Calibri"/>
          <w:i/>
          <w:iCs/>
          <w:sz w:val="12"/>
          <w:szCs w:val="12"/>
        </w:rPr>
        <w:sectPr w:rsidR="00EC26C5" w:rsidSect="00EC26C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A6D622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615C135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5DE26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40C2F99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12EEA30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67EFFBD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C9DFDF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25AF4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4C2CF1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08FDFC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A88AC2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8408232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DCFA87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27DEB5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13BA3ED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B09E74B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75FB07A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3A608E2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253AEA0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02FEEC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29E8D80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64B58A0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237CC21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42F229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F4E7E6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153175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BB2749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82F897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32BA68F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4588193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26FBBB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53806697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FECA14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3F3BBE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87CF6E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5D19795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35504AD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453938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754EE30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6E68669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3634DA8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4AFD93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92BDB1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2817E6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CDA852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633770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4F68ED4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0763921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1E73E6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F5230B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3F24A06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B2A258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1AEE4F9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436EFEA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42D625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C2219C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33443C1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BC212C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F58112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096AE0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1F9E35F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3899AF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210A420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193FA0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44EAF50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4C78A6E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61652D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75A4E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94409D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239268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5587410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0D6E11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E87167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6F76840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0B44A2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0F8E726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66C7628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A1CE7F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1FA897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77E18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3913252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2E85E6D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1F6C35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2B0C1A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2016CA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6BB2CFE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45DE034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7131273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05B95F9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3393EC5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CDF3F1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2B85367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0885C6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4D08E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785C201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1483B5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4B18835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673968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B63340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7D0C39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2EEC752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40568E2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398C1E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265413F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028F8C8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80FED8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618ABB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2B7F66A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191640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51B7B1E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F30650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E9F7D6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79BA2E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8C6404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89BD58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D5A922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6A699C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066EB9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676900C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4250CFD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3141CE8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49E15E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FBBCDA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2CCA3F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FBABB4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9AE90D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58F86FD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4DE740C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BAC080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1BDAFB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509F26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19A4BF0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6041E53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B03F94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27EE16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899E04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623D853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6D2C7A2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5E56141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274D709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0E4966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C6B204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74C1E70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DC81FC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178E0D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556DBD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503BCBD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2108256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508F33D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20C46FA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FC74D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321B632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FB6A89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D6EFDF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611439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F5B02D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89167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330F40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80FA8D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BCCD4D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C0EE1D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21FA36B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710F26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002F310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D79BA4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31ED227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1503F8A" w14:textId="77777777" w:rsidR="00281F9B" w:rsidRPr="00967580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EA28B3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CC2AC9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3641C3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729BFB8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50DE3D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0EB12D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53D8FA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5BBD3B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1B56D6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0833713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88B58E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4DE241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691AF9C4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4AECC0A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77A68D9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4B92E76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5DC3EC2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048560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321A63E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39766DD4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0F60359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78F5621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8C1AE1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94104D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E64A85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469BF15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6785A21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CA83B4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2CF5D97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6EA5AF6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547138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2C6024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15259E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F4EB86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4A05DD1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E000E6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43365F9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17FDDE3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01431DA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6D56D8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4D8AAEA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4721BF8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4BE024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386A1BE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9BD837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668A965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083760A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4F82F1A1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D7C91F7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EF8A0D2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033E8E4E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1E5FD09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F290CA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24D8217D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12898DAF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20D1AD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0BCA65C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EAFFA7B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0292370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7541691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96A46E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2D2E6C1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8F4E72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6556DC3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6607F18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1EF8B0D6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45A4B18C" w14:textId="77777777" w:rsidR="00281F9B" w:rsidRPr="002B668A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A3C1D5A" w14:textId="77777777" w:rsidR="00281F9B" w:rsidRDefault="00281F9B" w:rsidP="00281F9B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2C36FF28" w14:textId="77777777" w:rsidR="00780AA7" w:rsidRDefault="00780AA7" w:rsidP="00780AA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EFC029D" w14:textId="77777777" w:rsidR="00780AA7" w:rsidRDefault="00780AA7" w:rsidP="00780AA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FDCB3F0" w14:textId="77777777" w:rsidR="00780AA7" w:rsidRDefault="00780AA7" w:rsidP="00780AA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EEC3CFE" w14:textId="77777777" w:rsidR="00FE7687" w:rsidRDefault="00FE7687" w:rsidP="00513186">
      <w:pPr>
        <w:pStyle w:val="Tekstpodstawowy2"/>
        <w:rPr>
          <w:rFonts w:ascii="Calibri" w:hAnsi="Calibri"/>
          <w:i/>
          <w:iCs/>
          <w:szCs w:val="16"/>
        </w:rPr>
      </w:pPr>
    </w:p>
    <w:p w14:paraId="2E9696B3" w14:textId="355880B6" w:rsidR="00EC26C5" w:rsidRDefault="00EC26C5" w:rsidP="00513186">
      <w:pPr>
        <w:pStyle w:val="Tekstpodstawowy2"/>
        <w:rPr>
          <w:rFonts w:ascii="Calibri" w:hAnsi="Calibri"/>
          <w:i/>
          <w:iCs/>
          <w:szCs w:val="16"/>
        </w:rPr>
        <w:sectPr w:rsidR="00EC26C5" w:rsidSect="001F57D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AFE4B20" w14:textId="77777777" w:rsidR="00A26343" w:rsidRDefault="00A26343" w:rsidP="00A26343">
      <w:pPr>
        <w:pStyle w:val="Tekstpodstawowy2"/>
        <w:rPr>
          <w:rFonts w:ascii="Calibri" w:hAnsi="Calibri"/>
          <w:i/>
          <w:iCs/>
          <w:sz w:val="14"/>
          <w:szCs w:val="14"/>
        </w:rPr>
        <w:sectPr w:rsidR="00A26343" w:rsidSect="00FE7687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030FF5" w:rsidRPr="001A3185" w14:paraId="0EEA8C18" w14:textId="77777777" w:rsidTr="00353F56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244061" w:themeFill="accent1" w:themeFillShade="80"/>
            <w:vAlign w:val="center"/>
          </w:tcPr>
          <w:p w14:paraId="3713D54C" w14:textId="77777777" w:rsidR="00030FF5" w:rsidRPr="0015451C" w:rsidRDefault="00030FF5" w:rsidP="00AC4F68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7"/>
                <w:szCs w:val="27"/>
              </w:rPr>
            </w:pPr>
            <w:r w:rsidRPr="00B37D9D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>INFORMACJE ORGANIZACYJNE:</w:t>
            </w:r>
            <w:r w:rsidRPr="00B37D9D">
              <w:rPr>
                <w:rFonts w:ascii="Calibri" w:hAnsi="Calibri"/>
                <w:color w:val="FFFFFF"/>
                <w:sz w:val="27"/>
                <w:szCs w:val="27"/>
                <w:shd w:val="clear" w:color="auto" w:fill="244061" w:themeFill="accent1" w:themeFillShade="80"/>
              </w:rPr>
              <w:t xml:space="preserve"> 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AA0919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AA0919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AA0919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53F56" w:rsidRPr="00B62B12" w14:paraId="72733053" w14:textId="77777777" w:rsidTr="00353F56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63914E98" w14:textId="468A5805" w:rsidR="00353F56" w:rsidRPr="00691EF0" w:rsidRDefault="00353F56" w:rsidP="00A6538C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58810691" w14:textId="77777777" w:rsidR="00353F56" w:rsidRPr="00691EF0" w:rsidRDefault="00353F56" w:rsidP="00353F56">
            <w:pPr>
              <w:pStyle w:val="Akapitzlist"/>
              <w:numPr>
                <w:ilvl w:val="0"/>
                <w:numId w:val="15"/>
              </w:numPr>
              <w:spacing w:before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68E5D159" w14:textId="77777777" w:rsidR="00353F56" w:rsidRPr="00691EF0" w:rsidRDefault="00353F56" w:rsidP="00353F5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39D3A04" w14:textId="77777777" w:rsidR="00353F56" w:rsidRDefault="00353F56" w:rsidP="00353F56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51C7A0DD" w14:textId="5F86D272" w:rsidR="00353F56" w:rsidRPr="002D389E" w:rsidRDefault="00353F56" w:rsidP="00353F56">
            <w:pPr>
              <w:pStyle w:val="Akapitzlist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53F56" w:rsidRPr="00B62B12" w14:paraId="6F007919" w14:textId="77777777" w:rsidTr="00353F56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4811CB86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6DB9B8C1" w14:textId="77777777" w:rsidR="00353F56" w:rsidRPr="00B62B12" w:rsidRDefault="00353F56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8F1C598" w14:textId="77777777" w:rsidR="00353F56" w:rsidRPr="00B62B12" w:rsidRDefault="00353F56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3E3606E6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9B3859D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3719ACA1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53F56" w:rsidRPr="00B62B12" w14:paraId="25FA6805" w14:textId="77777777" w:rsidTr="00ED0153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61"/>
        </w:trPr>
        <w:tc>
          <w:tcPr>
            <w:tcW w:w="170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0032A168" w14:textId="77777777" w:rsidR="00353F56" w:rsidRPr="004234B8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3166C6DC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EE7A29D" w14:textId="77777777" w:rsidR="00353F56" w:rsidRPr="00B62B12" w:rsidRDefault="00353F56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564E35" w14:textId="014F2D78" w:rsidR="0042307D" w:rsidRPr="000D2C1E" w:rsidRDefault="0042307D" w:rsidP="0042307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07D">
              <w:rPr>
                <w:rFonts w:asciiTheme="minorHAnsi" w:hAnsiTheme="minorHAnsi"/>
                <w:sz w:val="20"/>
                <w:szCs w:val="20"/>
              </w:rPr>
              <w:t>13-14.05.2024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50313AF" w14:textId="2BC6C989" w:rsidR="0042307D" w:rsidRPr="00B62B12" w:rsidRDefault="0042307D" w:rsidP="009F4CCA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hAnsi="Calibri"/>
                <w:bCs/>
                <w:sz w:val="20"/>
                <w:szCs w:val="20"/>
              </w:rPr>
              <w:t>06.05.2024</w:t>
            </w:r>
          </w:p>
        </w:tc>
        <w:tc>
          <w:tcPr>
            <w:tcW w:w="4392" w:type="dxa"/>
            <w:gridSpan w:val="2"/>
            <w:shd w:val="clear" w:color="auto" w:fill="F2DBDB" w:themeFill="accent2" w:themeFillTint="33"/>
            <w:vAlign w:val="center"/>
          </w:tcPr>
          <w:p w14:paraId="5216DE8A" w14:textId="75F21BFE" w:rsidR="00353F56" w:rsidRPr="00ED4072" w:rsidRDefault="00353F56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5264364A" w14:textId="77777777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69838CC6" w14:textId="77777777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76BC643D" w14:textId="77777777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345E6FF9" w14:textId="77777777" w:rsidR="00353F56" w:rsidRPr="000D2C1E" w:rsidRDefault="00353F56" w:rsidP="00353F56">
            <w:pPr>
              <w:numPr>
                <w:ilvl w:val="0"/>
                <w:numId w:val="11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12754303" w14:textId="4F887117" w:rsidR="00353F56" w:rsidRPr="00B62B12" w:rsidRDefault="00353F56" w:rsidP="00ED0153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C61DB6">
        <w:rPr>
          <w:rFonts w:ascii="Calibri" w:hAnsi="Calibri"/>
          <w:b/>
          <w:color w:val="A50021"/>
          <w:sz w:val="20"/>
          <w:szCs w:val="20"/>
        </w:rPr>
        <w:t>3</w:t>
      </w:r>
      <w:r w:rsidR="00473502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7989099" w14:textId="77777777" w:rsidR="00353F56" w:rsidRDefault="00353F56" w:rsidP="00353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2F0147F" w14:textId="5B06001B" w:rsidR="00353F56" w:rsidRPr="003674BB" w:rsidRDefault="00353F56" w:rsidP="00ED0153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C61DB6">
        <w:rPr>
          <w:rFonts w:ascii="Calibri" w:hAnsi="Calibri"/>
          <w:b/>
          <w:sz w:val="20"/>
          <w:szCs w:val="20"/>
        </w:rPr>
        <w:t>5</w:t>
      </w:r>
      <w:r w:rsidR="00473502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7F4F40F2" w14:textId="77777777" w:rsidR="00353F56" w:rsidRPr="00577E71" w:rsidRDefault="00353F56" w:rsidP="00353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E7B8B03" w14:textId="77777777" w:rsidR="00353F56" w:rsidRDefault="00353F56" w:rsidP="00353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0490B8C0" w14:textId="77777777" w:rsidR="00353F56" w:rsidRPr="00E174E9" w:rsidRDefault="00353F56" w:rsidP="00353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CB70BF" w:rsidRPr="00134382" w14:paraId="392576C8" w14:textId="77777777" w:rsidTr="00C61DB6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463A2F45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413434FF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0AE1E6B1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tcBorders>
              <w:right w:val="single" w:sz="2" w:space="0" w:color="auto"/>
            </w:tcBorders>
            <w:shd w:val="clear" w:color="auto" w:fill="666699"/>
            <w:vAlign w:val="center"/>
          </w:tcPr>
          <w:p w14:paraId="175BD5CA" w14:textId="77777777" w:rsidR="00CB70BF" w:rsidRPr="00F024BF" w:rsidRDefault="00CB70BF" w:rsidP="00AE01F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B56393" w:rsidRPr="00134382" w14:paraId="2736BA8D" w14:textId="77777777" w:rsidTr="00C61DB6">
        <w:trPr>
          <w:trHeight w:val="1108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19EA9380" w14:textId="5661E033" w:rsidR="00B56393" w:rsidRDefault="00B56393" w:rsidP="00B5639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6981E6B8" w14:textId="03E2E1BE" w:rsidR="00B56393" w:rsidRDefault="00B56393" w:rsidP="00B5639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08-09.04.2024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525629FA" w14:textId="31FAE800" w:rsidR="00B56393" w:rsidRDefault="00B56393" w:rsidP="00B56393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29.03.2024</w:t>
            </w:r>
          </w:p>
        </w:tc>
        <w:tc>
          <w:tcPr>
            <w:tcW w:w="442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327C3" w14:textId="77777777" w:rsidR="00B56393" w:rsidRPr="009F46F2" w:rsidRDefault="00B56393" w:rsidP="00B5639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E3EFB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Hotel Park Inn by Radisson Katowice****</w:t>
            </w:r>
          </w:p>
          <w:p w14:paraId="4D1E873B" w14:textId="6B391C8F" w:rsidR="00B56393" w:rsidRPr="008B239E" w:rsidRDefault="00B56393" w:rsidP="00B5639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2179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  <w:tr w:rsidR="00B56393" w:rsidRPr="00134382" w14:paraId="11581417" w14:textId="77777777" w:rsidTr="00C61DB6">
        <w:trPr>
          <w:trHeight w:val="1108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286289FF" w14:textId="404291BF" w:rsidR="00B56393" w:rsidRDefault="00B56393" w:rsidP="00B5639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6754C2AB" w14:textId="54DE18BD" w:rsidR="00B56393" w:rsidRDefault="00B56393" w:rsidP="00B5639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11-12.04.2024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39BCFB74" w14:textId="6767E805" w:rsidR="00B56393" w:rsidRDefault="00B56393" w:rsidP="00B56393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03.04.2024</w:t>
            </w:r>
          </w:p>
        </w:tc>
        <w:tc>
          <w:tcPr>
            <w:tcW w:w="4420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CEE19" w14:textId="77777777" w:rsidR="00B56393" w:rsidRPr="008B239E" w:rsidRDefault="00B56393" w:rsidP="00B5639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2207691C" w14:textId="7486E63B" w:rsidR="00B56393" w:rsidRPr="008B239E" w:rsidRDefault="00B56393" w:rsidP="00B5639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3551C23F" w14:textId="54759F3B" w:rsidR="00353F56" w:rsidRPr="00656DAD" w:rsidRDefault="00353F56" w:rsidP="00ED0153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EC26C5">
        <w:rPr>
          <w:rFonts w:ascii="Calibri" w:hAnsi="Calibri"/>
          <w:b/>
          <w:color w:val="A50021"/>
          <w:sz w:val="20"/>
          <w:szCs w:val="20"/>
        </w:rPr>
        <w:t>1890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C95C720" w14:textId="77777777" w:rsidR="00353F56" w:rsidRDefault="00353F56" w:rsidP="00353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3904E11B" w14:textId="72BEEA4E" w:rsidR="00353F56" w:rsidRDefault="00353F56" w:rsidP="00353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ED0153">
        <w:rPr>
          <w:rFonts w:ascii="Calibri" w:hAnsi="Calibri"/>
          <w:b/>
          <w:sz w:val="20"/>
        </w:rPr>
        <w:t>2</w:t>
      </w:r>
      <w:r w:rsidR="00EC26C5">
        <w:rPr>
          <w:rFonts w:ascii="Calibri" w:hAnsi="Calibri"/>
          <w:b/>
          <w:sz w:val="20"/>
        </w:rPr>
        <w:t>0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3EE72D6A" w14:textId="77777777" w:rsidR="006C796C" w:rsidRDefault="006C796C" w:rsidP="00353F56">
      <w:pPr>
        <w:pStyle w:val="Tekstpodstawowy"/>
        <w:rPr>
          <w:rFonts w:ascii="Calibri" w:hAnsi="Calibri"/>
          <w:b/>
          <w:sz w:val="20"/>
        </w:rPr>
      </w:pPr>
    </w:p>
    <w:p w14:paraId="01E3829F" w14:textId="77777777" w:rsidR="006C796C" w:rsidRDefault="006C796C" w:rsidP="00353F56">
      <w:pPr>
        <w:pStyle w:val="Tekstpodstawowy"/>
        <w:rPr>
          <w:rFonts w:ascii="Calibri" w:hAnsi="Calibri"/>
          <w:b/>
          <w:sz w:val="20"/>
        </w:rPr>
      </w:pPr>
    </w:p>
    <w:p w14:paraId="76D86950" w14:textId="77777777" w:rsidR="006C796C" w:rsidRDefault="006C796C" w:rsidP="00353F56">
      <w:pPr>
        <w:pStyle w:val="Tekstpodstawowy"/>
        <w:rPr>
          <w:rFonts w:ascii="Calibri" w:hAnsi="Calibri"/>
          <w:b/>
          <w:sz w:val="20"/>
        </w:rPr>
      </w:pPr>
    </w:p>
    <w:p w14:paraId="2AF9C800" w14:textId="77777777" w:rsidR="006C796C" w:rsidRDefault="006C796C" w:rsidP="00353F56">
      <w:pPr>
        <w:pStyle w:val="Tekstpodstawowy"/>
        <w:rPr>
          <w:rFonts w:ascii="Calibri" w:hAnsi="Calibri"/>
          <w:b/>
          <w:sz w:val="20"/>
        </w:rPr>
      </w:pPr>
    </w:p>
    <w:p w14:paraId="25DB3D98" w14:textId="77777777" w:rsidR="006C796C" w:rsidRDefault="006C796C" w:rsidP="00353F56">
      <w:pPr>
        <w:pStyle w:val="Tekstpodstawowy"/>
        <w:rPr>
          <w:rFonts w:ascii="Calibri" w:hAnsi="Calibri"/>
          <w:b/>
          <w:sz w:val="20"/>
        </w:rPr>
      </w:pPr>
    </w:p>
    <w:bookmarkEnd w:id="0"/>
    <w:p w14:paraId="784156E1" w14:textId="25DA4D0F" w:rsidR="000D16EF" w:rsidRPr="0015451C" w:rsidRDefault="000D16EF" w:rsidP="00B37D9D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2959FD" w:rsidRPr="00A73288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7DAEDF75" w14:textId="4B7022B4" w:rsidR="000D16EF" w:rsidRPr="00BC0F5C" w:rsidRDefault="000D16EF" w:rsidP="000D16EF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 xml:space="preserve">Zgłaszamy udział poniższych osób w szkoleniu: </w:t>
      </w:r>
      <w:r w:rsidR="00A813BC">
        <w:rPr>
          <w:rFonts w:ascii="Calibri" w:hAnsi="Calibri"/>
          <w:b/>
          <w:sz w:val="18"/>
          <w:szCs w:val="18"/>
        </w:rPr>
        <w:t xml:space="preserve">„Zawieranie </w:t>
      </w:r>
      <w:r w:rsidR="00CC6CCD">
        <w:rPr>
          <w:rFonts w:ascii="Calibri" w:hAnsi="Calibri"/>
          <w:b/>
          <w:bCs/>
          <w:iCs/>
          <w:sz w:val="18"/>
          <w:szCs w:val="18"/>
        </w:rPr>
        <w:t>umów handlowych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603E206" w14:textId="1AF53985" w:rsidR="001C351B" w:rsidRDefault="001C351B" w:rsidP="00B176BE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B659D" w:rsidRPr="00EB659D">
        <w:rPr>
          <w:rFonts w:asciiTheme="minorHAnsi" w:hAnsiTheme="minorHAnsi"/>
          <w:sz w:val="18"/>
          <w:szCs w:val="18"/>
        </w:rPr>
        <w:t xml:space="preserve"> </w:t>
      </w:r>
      <w:r w:rsidR="00EB659D" w:rsidRPr="00BC0F5C">
        <w:rPr>
          <w:rFonts w:asciiTheme="minorHAnsi" w:hAnsiTheme="minorHAnsi"/>
          <w:sz w:val="18"/>
          <w:szCs w:val="18"/>
        </w:rPr>
        <w:sym w:font="Wingdings" w:char="F0A8"/>
      </w:r>
      <w:r w:rsidR="00EB659D">
        <w:rPr>
          <w:rFonts w:asciiTheme="minorHAnsi" w:hAnsiTheme="minorHAnsi"/>
          <w:sz w:val="18"/>
          <w:szCs w:val="18"/>
        </w:rPr>
        <w:t xml:space="preserve"> </w:t>
      </w:r>
      <w:r w:rsidR="00EB659D">
        <w:rPr>
          <w:rFonts w:ascii="Calibri" w:hAnsi="Calibri"/>
          <w:b/>
          <w:bCs/>
          <w:sz w:val="18"/>
          <w:szCs w:val="18"/>
        </w:rPr>
        <w:t>stacjonarnie</w:t>
      </w:r>
      <w:r w:rsidR="00EB659D" w:rsidRPr="0091017F">
        <w:rPr>
          <w:rFonts w:ascii="Calibri" w:hAnsi="Calibri"/>
          <w:bCs/>
          <w:sz w:val="18"/>
          <w:szCs w:val="18"/>
        </w:rPr>
        <w:t xml:space="preserve"> </w:t>
      </w:r>
      <w:r w:rsidR="00EB659D">
        <w:rPr>
          <w:rFonts w:ascii="Calibri" w:hAnsi="Calibri"/>
          <w:bCs/>
          <w:sz w:val="18"/>
          <w:szCs w:val="18"/>
        </w:rPr>
        <w:t>(miasto i termin):</w:t>
      </w:r>
      <w:r w:rsidR="00EB659D">
        <w:rPr>
          <w:rFonts w:ascii="Calibri" w:hAnsi="Calibri"/>
          <w:b/>
          <w:sz w:val="18"/>
          <w:szCs w:val="18"/>
        </w:rPr>
        <w:t>_____________________________________________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C351B" w:rsidRPr="001F3ACF" w14:paraId="1E7D4ED4" w14:textId="77777777" w:rsidTr="00573A4A">
        <w:trPr>
          <w:trHeight w:hRule="exact" w:val="340"/>
        </w:trPr>
        <w:tc>
          <w:tcPr>
            <w:tcW w:w="426" w:type="dxa"/>
            <w:vAlign w:val="center"/>
          </w:tcPr>
          <w:p w14:paraId="5EC8FF9B" w14:textId="77777777" w:rsidR="001C351B" w:rsidRPr="00900431" w:rsidRDefault="001C351B" w:rsidP="00573A4A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02D485" w14:textId="77777777" w:rsidR="001C351B" w:rsidRPr="00900431" w:rsidRDefault="001C351B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679FCBC7" w14:textId="77777777" w:rsidR="001C351B" w:rsidRPr="00900431" w:rsidRDefault="001C351B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8598CD9" w14:textId="77777777" w:rsidR="001C351B" w:rsidRPr="00900431" w:rsidRDefault="001C351B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C351B" w:rsidRPr="001F3ACF" w14:paraId="2EBDE413" w14:textId="77777777" w:rsidTr="00573A4A">
        <w:trPr>
          <w:trHeight w:hRule="exact" w:val="397"/>
        </w:trPr>
        <w:tc>
          <w:tcPr>
            <w:tcW w:w="426" w:type="dxa"/>
          </w:tcPr>
          <w:p w14:paraId="4845E75E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3CC9DE82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76A0781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9AEB762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C351B" w:rsidRPr="001F3ACF" w14:paraId="37C62609" w14:textId="77777777" w:rsidTr="00573A4A">
        <w:trPr>
          <w:trHeight w:hRule="exact" w:val="397"/>
        </w:trPr>
        <w:tc>
          <w:tcPr>
            <w:tcW w:w="426" w:type="dxa"/>
          </w:tcPr>
          <w:p w14:paraId="45E36C97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40C9C5D5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B74237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C73F68B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C351B" w:rsidRPr="001F3ACF" w14:paraId="3780BC24" w14:textId="77777777" w:rsidTr="00573A4A">
        <w:trPr>
          <w:trHeight w:hRule="exact" w:val="397"/>
        </w:trPr>
        <w:tc>
          <w:tcPr>
            <w:tcW w:w="426" w:type="dxa"/>
          </w:tcPr>
          <w:p w14:paraId="47AE04B4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9F75AA2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15CF29D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5D42AF5" w14:textId="77777777" w:rsidR="001C351B" w:rsidRPr="001F3ACF" w:rsidRDefault="001C351B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B176BE" w:rsidRPr="001F3ACF" w14:paraId="4D985374" w14:textId="77777777" w:rsidTr="00573A4A">
        <w:trPr>
          <w:trHeight w:hRule="exact" w:val="397"/>
        </w:trPr>
        <w:tc>
          <w:tcPr>
            <w:tcW w:w="426" w:type="dxa"/>
          </w:tcPr>
          <w:p w14:paraId="444A7EEB" w14:textId="3EC4E065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78F3C6DF" w14:textId="77777777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B21607C" w14:textId="77777777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7F381C" w14:textId="77777777" w:rsidR="00B176BE" w:rsidRPr="001F3ACF" w:rsidRDefault="00B176BE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0BE8153" w14:textId="77777777" w:rsidR="001C351B" w:rsidRDefault="001C351B" w:rsidP="001C351B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07743B9A" w14:textId="77777777" w:rsidR="001C351B" w:rsidRDefault="001C351B" w:rsidP="001C351B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111F2C62" w14:textId="77777777" w:rsidR="001C351B" w:rsidRDefault="001C351B" w:rsidP="001C351B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3F6703C" w14:textId="77777777" w:rsidR="001C351B" w:rsidRDefault="001C351B" w:rsidP="00BC6DFB">
      <w:pPr>
        <w:pStyle w:val="Tekstpodstawowy"/>
        <w:spacing w:after="60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503C9652" w14:textId="77777777" w:rsidR="001C351B" w:rsidRDefault="001C351B" w:rsidP="001C351B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F5FB09D" w14:textId="77777777" w:rsidR="001C351B" w:rsidRPr="00272ADA" w:rsidRDefault="001C351B" w:rsidP="00BC6DFB">
      <w:pPr>
        <w:spacing w:after="6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507554B" w14:textId="77777777" w:rsidR="001C351B" w:rsidRPr="00BC0F5C" w:rsidRDefault="001C351B" w:rsidP="001C351B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5600B6B" w14:textId="77777777" w:rsidR="001C351B" w:rsidRPr="00ED6802" w:rsidRDefault="001C351B" w:rsidP="001C351B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20A2D44D" w14:textId="77777777" w:rsidR="001C351B" w:rsidRPr="00BC0F5C" w:rsidRDefault="001C351B" w:rsidP="001C351B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21B74BF1" w14:textId="77777777" w:rsidR="001C351B" w:rsidRPr="00BC0F5C" w:rsidRDefault="001C351B" w:rsidP="001C351B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FE91859" w14:textId="77777777" w:rsidR="001C351B" w:rsidRPr="00BC0F5C" w:rsidRDefault="001C351B" w:rsidP="001C351B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C57BFDB" w14:textId="77777777" w:rsidR="001C351B" w:rsidRPr="00BC0F5C" w:rsidRDefault="001C351B" w:rsidP="001C351B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4D68373C" w14:textId="77777777" w:rsidR="001C351B" w:rsidRPr="00ED6802" w:rsidRDefault="001C351B" w:rsidP="001C351B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1BCA3F" w14:textId="54779F4E" w:rsidR="001C351B" w:rsidRPr="004B6EA5" w:rsidRDefault="001C351B" w:rsidP="001C351B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3" w:history="1">
        <w:r w:rsidR="00673CEE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673CEE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6F2A975E" w14:textId="77777777" w:rsidR="001C351B" w:rsidRPr="004B6EA5" w:rsidRDefault="001C351B" w:rsidP="001C351B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FFDF219" w14:textId="77777777" w:rsidR="001C351B" w:rsidRPr="004B6EA5" w:rsidRDefault="001C351B" w:rsidP="001C351B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5C3D9A26" w14:textId="77777777" w:rsidR="001C351B" w:rsidRPr="00321B20" w:rsidRDefault="001C351B" w:rsidP="001C351B">
      <w:pPr>
        <w:rPr>
          <w:rFonts w:asciiTheme="minorHAnsi" w:hAnsiTheme="minorHAnsi"/>
          <w:sz w:val="8"/>
          <w:szCs w:val="8"/>
        </w:rPr>
      </w:pPr>
    </w:p>
    <w:p w14:paraId="6CCCF7DC" w14:textId="77777777" w:rsidR="00673CEE" w:rsidRDefault="00673CEE" w:rsidP="00673CEE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7F20CE46" w14:textId="0E4DA27E" w:rsidR="001C351B" w:rsidRDefault="00673CEE" w:rsidP="00673CEE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5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C351B" w:rsidRPr="004B6EA5">
        <w:rPr>
          <w:rFonts w:asciiTheme="minorHAnsi" w:hAnsiTheme="minorHAnsi"/>
          <w:sz w:val="15"/>
          <w:szCs w:val="15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</w:r>
      <w:r w:rsidR="001C351B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8964912" w14:textId="77777777" w:rsidR="001C351B" w:rsidRPr="00DB5183" w:rsidRDefault="001C351B" w:rsidP="001C351B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287DF1E9" w14:textId="77777777" w:rsidR="001C351B" w:rsidRPr="00CB15F9" w:rsidRDefault="001C351B" w:rsidP="001C351B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C351B" w:rsidRPr="00CB15F9" w:rsidSect="008305F1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B6F9" w14:textId="77777777" w:rsidR="00526FF1" w:rsidRDefault="00526FF1">
      <w:r>
        <w:separator/>
      </w:r>
    </w:p>
  </w:endnote>
  <w:endnote w:type="continuationSeparator" w:id="0">
    <w:p w14:paraId="4708F386" w14:textId="77777777" w:rsidR="00526FF1" w:rsidRDefault="0052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4536" w14:textId="77777777" w:rsidR="00030FF5" w:rsidRDefault="00EE24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21C88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CDB0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C1EB673" w14:textId="77777777" w:rsidR="00030FF5" w:rsidRPr="007F1ACF" w:rsidRDefault="00C336B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314A27A1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69A7" w14:textId="77777777" w:rsidR="009D1CD1" w:rsidRDefault="009D1C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FF53F" w14:textId="77777777" w:rsidR="009D1CD1" w:rsidRDefault="009D1CD1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17BE" w14:textId="77777777" w:rsidR="009D1CD1" w:rsidRDefault="009D1CD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23CB02" w14:textId="77777777" w:rsidR="009D1CD1" w:rsidRPr="00046D90" w:rsidRDefault="009D1CD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F2FF6A6" w14:textId="77777777" w:rsidR="009D1CD1" w:rsidRDefault="009D1CD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B0F6" w14:textId="77777777" w:rsidR="00526FF1" w:rsidRDefault="00526FF1">
      <w:r>
        <w:separator/>
      </w:r>
    </w:p>
  </w:footnote>
  <w:footnote w:type="continuationSeparator" w:id="0">
    <w:p w14:paraId="1A898CF7" w14:textId="77777777" w:rsidR="00526FF1" w:rsidRDefault="0052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410A" w14:textId="611670A0" w:rsidR="00030FF5" w:rsidRDefault="0015451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F62D67" wp14:editId="7F75B10E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86096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4F9E1F33" w14:textId="0D39A7B4" w:rsidR="00030FF5" w:rsidRDefault="00706C16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5A0EE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88032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62D6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JE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Sqc&#10;YiRJBxQ98MGhlRpQkvry9NqW4HWvwc8NsA80h1StvlP0i0VS3TREbvm1MapvOGEQXuJPRmdHRxzr&#10;QTb9e8XgHrJzKgANtel87aAaCNCBpscTNT4WCpvTaTLPEzBRsE2nszw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mrhGYFJo8w3jHpoyQrbrztiOEbtOwmiKpIs8z0cFll+mcLCnFs25xYiKUBV2GE0&#10;Tm/c2Pc7bcS2gZtGGUt1DUKsRdDIc1QH+ULbhWQOT4Tv6/N18Hp+yJY/AAAA//8DAFBLAwQUAAYA&#10;CAAAACEAEYPdtt0AAAAIAQAADwAAAGRycy9kb3ducmV2LnhtbEyPwU7DMBBE70j8g7VIXFDrhKYJ&#10;pHEqQAJxbekHOPE2iRqvo9ht0r9nOdHjzKxm3hbb2fbigqPvHCmIlxEIpNqZjhoFh5/PxQsIHzQZ&#10;3TtCBVf0sC3v7wqdGzfRDi/70AguIZ9rBW0IQy6lr1u02i/dgMTZ0Y1WB5ZjI82oJy63vXyOolRa&#10;3REvtHrAjxbr0/5sFRy/p6f161R9hUO2S9J33WWVuyr1+DC/bUAEnMP/MfzhMzqUzFS5MxkvegWL&#10;jMkD+/EKBOfrOGGjUpAmK5BlIW8fKH8BAAD//wMAUEsBAi0AFAAGAAgAAAAhALaDOJL+AAAA4QEA&#10;ABMAAAAAAAAAAAAAAAAAAAAAAFtDb250ZW50X1R5cGVzXS54bWxQSwECLQAUAAYACAAAACEAOP0h&#10;/9YAAACUAQAACwAAAAAAAAAAAAAAAAAvAQAAX3JlbHMvLnJlbHNQSwECLQAUAAYACAAAACEAM7CC&#10;RIQCAAAQBQAADgAAAAAAAAAAAAAAAAAuAgAAZHJzL2Uyb0RvYy54bWxQSwECLQAUAAYACAAAACEA&#10;EYPdtt0AAAAIAQAADwAAAAAAAAAAAAAAAADeBAAAZHJzL2Rvd25yZXYueG1sUEsFBgAAAAAEAAQA&#10;8wAAAOgFAAAAAA==&#10;" stroked="f">
              <v:textbox>
                <w:txbxContent>
                  <w:p w14:paraId="2CF86096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4F9E1F33" w14:textId="0D39A7B4" w:rsidR="00030FF5" w:rsidRDefault="00706C16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5A0EE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88032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  <w:t xml:space="preserve"> </w:t>
    </w:r>
    <w:r w:rsidR="00030FF5">
      <w:object w:dxaOrig="1840" w:dyaOrig="800" w14:anchorId="0238B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.75pt" o:ole="">
          <v:imagedata r:id="rId1" o:title=""/>
        </v:shape>
        <o:OLEObject Type="Embed" ProgID="CorelDRAW.Graphic.10" ShapeID="_x0000_i1025" DrawAspect="Content" ObjectID="_177252709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8B6B" w14:textId="2EBA8755" w:rsidR="009D1CD1" w:rsidRDefault="0015451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42F51" wp14:editId="416A869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BF72" w14:textId="77777777" w:rsidR="009D1CD1" w:rsidRDefault="009D1CD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79255014" w14:textId="0B61430D" w:rsidR="009D1CD1" w:rsidRDefault="009D1CD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CD065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88032C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2F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JriAIAABcFAAAOAAAAZHJzL2Uyb0RvYy54bWysVNuO2yAQfa/Uf0C8Z20ndja21ll1d5uq&#10;0vYi7fYDCOAYFQMFEntb9d874CTrXh6qqn7AwAyHmTlnuLoeOokO3DqhVY2zixQjrqhmQu1q/Olx&#10;M1th5DxRjEiteI2fuMPX65cvrnpT8blutWTcIgBRrupNjVvvTZUkjra8I+5CG67A2GjbEQ9Lu0uY&#10;JT2gdzKZp+ky6bVlxmrKnYPdu9GI1xG/aTj1H5rGcY9kjSE2H0cbx20Yk/UVqXaWmFbQYxjkH6Lo&#10;iFBw6RnqjniC9lb8BtUJarXTjb+gukt00wjKYw6QTZb+ks1DSwyPuUBxnDmXyf0/WPr+8NEiwYA7&#10;jBTpgKJHPnh0oweUFaE8vXEVeD0Y8PMD7AfXkKoz95p+dkjp25aoHX9lre5bThiEl4WTyeToiOMC&#10;yLZ/pxncQ/ZeR6ChsV0AhGogQAeans7UhFgobC4W2arIwETBtlgsiyJyl5DqdNpY599w3aEwqbEF&#10;6iM6Odw7H6Ih1cklRq+lYBshZVzY3fZWWnQgIJNN/GICkOTUTargrHQ4NiKOOxAk3BFsIdxI+7cy&#10;m+fpzbycbZary1m+yYtZeZmuZmlW3pTLNC/zu833EGCWV61gjKt7ofhJgln+dxQfm2EUTxQh6mtc&#10;FvNipGgavZsmmcbvT0l2wkNHStHVeHV2IlUg9rVikDapPBFynCc/hx+rDDU4/WNVogwC86MG/LAd&#10;joIDsCCRrWZPoAurgTZgGF4TmLTafsWoh86ssfuyJ5ZjJN8q0FaZ5Xlo5bjIi8s5LOzUsp1aiKIA&#10;VWOP0Ti99WP7740VuxZuGtWs9CvQYyOiVJ6jOqoYui/mdHwpQntP19Hr+T1b/wAAAP//AwBQSwME&#10;FAAGAAgAAAAhABGD3bbdAAAACAEAAA8AAABkcnMvZG93bnJldi54bWxMj8FOwzAQRO9I/IO1SFxQ&#10;64SmCaRxKkACcW3pBzjxNokar6PYbdK/ZznR48ysZt4W29n24oKj7xwpiJcRCKTamY4aBYefz8UL&#10;CB80Gd07QgVX9LAt7+8KnRs30Q4v+9AILiGfawVtCEMupa9btNov3YDE2dGNVgeWYyPNqCcut718&#10;jqJUWt0RL7R6wI8W69P+bBUcv6en9etUfYVDtkvSd91llbsq9fgwv21ABJzD/zH84TM6lMxUuTMZ&#10;L3oFi4zJA/vxCgTn6zhho1KQJiuQZSFvHyh/AQAA//8DAFBLAQItABQABgAIAAAAIQC2gziS/gAA&#10;AOEBAAATAAAAAAAAAAAAAAAAAAAAAABbQ29udGVudF9UeXBlc10ueG1sUEsBAi0AFAAGAAgAAAAh&#10;ADj9If/WAAAAlAEAAAsAAAAAAAAAAAAAAAAALwEAAF9yZWxzLy5yZWxzUEsBAi0AFAAGAAgAAAAh&#10;AKd9EmuIAgAAFwUAAA4AAAAAAAAAAAAAAAAALgIAAGRycy9lMm9Eb2MueG1sUEsBAi0AFAAGAAgA&#10;AAAhABGD3bbdAAAACAEAAA8AAAAAAAAAAAAAAAAA4gQAAGRycy9kb3ducmV2LnhtbFBLBQYAAAAA&#10;BAAEAPMAAADsBQAAAAA=&#10;" stroked="f">
              <v:textbox>
                <w:txbxContent>
                  <w:p w14:paraId="6088BF72" w14:textId="77777777" w:rsidR="009D1CD1" w:rsidRDefault="009D1CD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79255014" w14:textId="0B61430D" w:rsidR="009D1CD1" w:rsidRDefault="009D1CD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CD065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88032C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tab/>
    </w:r>
    <w:r w:rsidR="009D1CD1">
      <w:object w:dxaOrig="1860" w:dyaOrig="800" w14:anchorId="6E181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39.75pt" o:ole="">
          <v:imagedata r:id="rId1" o:title=""/>
        </v:shape>
        <o:OLEObject Type="Embed" ProgID="CorelDRAW.Graphic.10" ShapeID="_x0000_i1026" DrawAspect="Content" ObjectID="_1772527091" r:id="rId2"/>
      </w:object>
    </w:r>
    <w:r w:rsidR="009D1CD1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66EB"/>
    <w:multiLevelType w:val="hybridMultilevel"/>
    <w:tmpl w:val="90BAA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0A0"/>
    <w:multiLevelType w:val="hybridMultilevel"/>
    <w:tmpl w:val="472258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D52DC"/>
    <w:multiLevelType w:val="hybridMultilevel"/>
    <w:tmpl w:val="252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148A"/>
    <w:multiLevelType w:val="hybridMultilevel"/>
    <w:tmpl w:val="35B49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33E73B3"/>
    <w:multiLevelType w:val="hybridMultilevel"/>
    <w:tmpl w:val="DA94F892"/>
    <w:lvl w:ilvl="0" w:tplc="E13E8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100339"/>
    <w:multiLevelType w:val="hybridMultilevel"/>
    <w:tmpl w:val="66FE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935"/>
    <w:rsid w:val="00006191"/>
    <w:rsid w:val="00007E82"/>
    <w:rsid w:val="0001417D"/>
    <w:rsid w:val="0001701D"/>
    <w:rsid w:val="00021A71"/>
    <w:rsid w:val="00024801"/>
    <w:rsid w:val="000248A0"/>
    <w:rsid w:val="00027EEA"/>
    <w:rsid w:val="00030FF5"/>
    <w:rsid w:val="00041917"/>
    <w:rsid w:val="00045F85"/>
    <w:rsid w:val="00050AD9"/>
    <w:rsid w:val="00050E57"/>
    <w:rsid w:val="00051377"/>
    <w:rsid w:val="00054FA3"/>
    <w:rsid w:val="00056EF5"/>
    <w:rsid w:val="00061269"/>
    <w:rsid w:val="00064583"/>
    <w:rsid w:val="00064998"/>
    <w:rsid w:val="00065A18"/>
    <w:rsid w:val="000709BB"/>
    <w:rsid w:val="00072406"/>
    <w:rsid w:val="00074C46"/>
    <w:rsid w:val="00080E74"/>
    <w:rsid w:val="00083E3C"/>
    <w:rsid w:val="00084169"/>
    <w:rsid w:val="00085E04"/>
    <w:rsid w:val="00091068"/>
    <w:rsid w:val="00091968"/>
    <w:rsid w:val="00092F0E"/>
    <w:rsid w:val="000A184C"/>
    <w:rsid w:val="000A1D0B"/>
    <w:rsid w:val="000A62B9"/>
    <w:rsid w:val="000C7550"/>
    <w:rsid w:val="000D0E93"/>
    <w:rsid w:val="000D16EF"/>
    <w:rsid w:val="000D4476"/>
    <w:rsid w:val="000D7E6B"/>
    <w:rsid w:val="000E58E4"/>
    <w:rsid w:val="000F0076"/>
    <w:rsid w:val="00107839"/>
    <w:rsid w:val="00115C46"/>
    <w:rsid w:val="001210BD"/>
    <w:rsid w:val="00121F5E"/>
    <w:rsid w:val="00123A5F"/>
    <w:rsid w:val="001252CC"/>
    <w:rsid w:val="00126518"/>
    <w:rsid w:val="0013375E"/>
    <w:rsid w:val="00133A3A"/>
    <w:rsid w:val="00134382"/>
    <w:rsid w:val="00143CEC"/>
    <w:rsid w:val="001503FE"/>
    <w:rsid w:val="0015383A"/>
    <w:rsid w:val="0015451C"/>
    <w:rsid w:val="001559A8"/>
    <w:rsid w:val="001657C3"/>
    <w:rsid w:val="001723A6"/>
    <w:rsid w:val="00177D9F"/>
    <w:rsid w:val="00182DEF"/>
    <w:rsid w:val="00190E3C"/>
    <w:rsid w:val="001931E6"/>
    <w:rsid w:val="001951F1"/>
    <w:rsid w:val="001A1108"/>
    <w:rsid w:val="001A3185"/>
    <w:rsid w:val="001A5BC0"/>
    <w:rsid w:val="001B17D7"/>
    <w:rsid w:val="001B203A"/>
    <w:rsid w:val="001B4201"/>
    <w:rsid w:val="001C351B"/>
    <w:rsid w:val="001D1516"/>
    <w:rsid w:val="001D2BA0"/>
    <w:rsid w:val="001D62E0"/>
    <w:rsid w:val="001F57D9"/>
    <w:rsid w:val="00215B83"/>
    <w:rsid w:val="0023013B"/>
    <w:rsid w:val="002331D7"/>
    <w:rsid w:val="00237768"/>
    <w:rsid w:val="00243157"/>
    <w:rsid w:val="00247E33"/>
    <w:rsid w:val="00250A30"/>
    <w:rsid w:val="002546BE"/>
    <w:rsid w:val="00266B7D"/>
    <w:rsid w:val="00270304"/>
    <w:rsid w:val="002707A0"/>
    <w:rsid w:val="00270A59"/>
    <w:rsid w:val="00276472"/>
    <w:rsid w:val="00277851"/>
    <w:rsid w:val="0027789E"/>
    <w:rsid w:val="00281024"/>
    <w:rsid w:val="00281F9B"/>
    <w:rsid w:val="0028777A"/>
    <w:rsid w:val="00291F85"/>
    <w:rsid w:val="00292CC2"/>
    <w:rsid w:val="002959FD"/>
    <w:rsid w:val="002A09EF"/>
    <w:rsid w:val="002A0F73"/>
    <w:rsid w:val="002A1213"/>
    <w:rsid w:val="002A14FF"/>
    <w:rsid w:val="002A178D"/>
    <w:rsid w:val="002C18D7"/>
    <w:rsid w:val="002D2D64"/>
    <w:rsid w:val="002D5451"/>
    <w:rsid w:val="002D6D9F"/>
    <w:rsid w:val="002E2A3D"/>
    <w:rsid w:val="002E6AE2"/>
    <w:rsid w:val="002E73DD"/>
    <w:rsid w:val="002E7D5C"/>
    <w:rsid w:val="00305FCB"/>
    <w:rsid w:val="00314373"/>
    <w:rsid w:val="00317477"/>
    <w:rsid w:val="00322131"/>
    <w:rsid w:val="0032789D"/>
    <w:rsid w:val="00333A7B"/>
    <w:rsid w:val="00336796"/>
    <w:rsid w:val="00343155"/>
    <w:rsid w:val="00353F56"/>
    <w:rsid w:val="00355072"/>
    <w:rsid w:val="00360E9B"/>
    <w:rsid w:val="00362356"/>
    <w:rsid w:val="0037515F"/>
    <w:rsid w:val="00376D4A"/>
    <w:rsid w:val="003A3514"/>
    <w:rsid w:val="003A56EF"/>
    <w:rsid w:val="003B1FB1"/>
    <w:rsid w:val="003B24E4"/>
    <w:rsid w:val="003B27AA"/>
    <w:rsid w:val="003B5058"/>
    <w:rsid w:val="003B59A3"/>
    <w:rsid w:val="003B742B"/>
    <w:rsid w:val="003C0917"/>
    <w:rsid w:val="003C4E84"/>
    <w:rsid w:val="003C5F4C"/>
    <w:rsid w:val="003C777A"/>
    <w:rsid w:val="003C783D"/>
    <w:rsid w:val="003D21F6"/>
    <w:rsid w:val="003E7B39"/>
    <w:rsid w:val="00404DC6"/>
    <w:rsid w:val="0041205B"/>
    <w:rsid w:val="0041237D"/>
    <w:rsid w:val="004148E9"/>
    <w:rsid w:val="0042307D"/>
    <w:rsid w:val="0042753B"/>
    <w:rsid w:val="00431193"/>
    <w:rsid w:val="00431DC9"/>
    <w:rsid w:val="00436054"/>
    <w:rsid w:val="0043626B"/>
    <w:rsid w:val="004443ED"/>
    <w:rsid w:val="00445CF8"/>
    <w:rsid w:val="00447A13"/>
    <w:rsid w:val="00447B2D"/>
    <w:rsid w:val="00455E69"/>
    <w:rsid w:val="004602BA"/>
    <w:rsid w:val="00464402"/>
    <w:rsid w:val="004649DD"/>
    <w:rsid w:val="00473502"/>
    <w:rsid w:val="00475F3B"/>
    <w:rsid w:val="00477003"/>
    <w:rsid w:val="00481A6D"/>
    <w:rsid w:val="004846CC"/>
    <w:rsid w:val="00485882"/>
    <w:rsid w:val="004925EC"/>
    <w:rsid w:val="004928E8"/>
    <w:rsid w:val="004942DE"/>
    <w:rsid w:val="004A60D5"/>
    <w:rsid w:val="004A704F"/>
    <w:rsid w:val="004B28D8"/>
    <w:rsid w:val="004B6A31"/>
    <w:rsid w:val="004B6F53"/>
    <w:rsid w:val="004C08B0"/>
    <w:rsid w:val="004C0AF1"/>
    <w:rsid w:val="004C1C38"/>
    <w:rsid w:val="004D630E"/>
    <w:rsid w:val="004E0215"/>
    <w:rsid w:val="004E5E9B"/>
    <w:rsid w:val="004F2276"/>
    <w:rsid w:val="004F32B7"/>
    <w:rsid w:val="004F4929"/>
    <w:rsid w:val="004F6CB9"/>
    <w:rsid w:val="005039F3"/>
    <w:rsid w:val="005040DB"/>
    <w:rsid w:val="00504739"/>
    <w:rsid w:val="005072B3"/>
    <w:rsid w:val="00513186"/>
    <w:rsid w:val="0051667D"/>
    <w:rsid w:val="0052181B"/>
    <w:rsid w:val="00522BC0"/>
    <w:rsid w:val="00522DBF"/>
    <w:rsid w:val="0052541B"/>
    <w:rsid w:val="00526FF1"/>
    <w:rsid w:val="00527616"/>
    <w:rsid w:val="00531080"/>
    <w:rsid w:val="005327EA"/>
    <w:rsid w:val="00532875"/>
    <w:rsid w:val="00533B29"/>
    <w:rsid w:val="0054454D"/>
    <w:rsid w:val="00550A4B"/>
    <w:rsid w:val="00562336"/>
    <w:rsid w:val="00570310"/>
    <w:rsid w:val="00570800"/>
    <w:rsid w:val="00576AA2"/>
    <w:rsid w:val="00581DD5"/>
    <w:rsid w:val="00590166"/>
    <w:rsid w:val="00591762"/>
    <w:rsid w:val="005A0BDF"/>
    <w:rsid w:val="005A0EE2"/>
    <w:rsid w:val="005A0F32"/>
    <w:rsid w:val="005A14E1"/>
    <w:rsid w:val="005A1A7C"/>
    <w:rsid w:val="005A1F27"/>
    <w:rsid w:val="005B30DF"/>
    <w:rsid w:val="005B30E5"/>
    <w:rsid w:val="005B4379"/>
    <w:rsid w:val="005B7FC5"/>
    <w:rsid w:val="005C0EFE"/>
    <w:rsid w:val="005C19F3"/>
    <w:rsid w:val="005C70DA"/>
    <w:rsid w:val="005C71F0"/>
    <w:rsid w:val="005E0BAE"/>
    <w:rsid w:val="005E0D92"/>
    <w:rsid w:val="005E4F38"/>
    <w:rsid w:val="005F183E"/>
    <w:rsid w:val="005F2A65"/>
    <w:rsid w:val="005F2D22"/>
    <w:rsid w:val="005F5F04"/>
    <w:rsid w:val="005F730A"/>
    <w:rsid w:val="00601C33"/>
    <w:rsid w:val="00603E76"/>
    <w:rsid w:val="006043C1"/>
    <w:rsid w:val="00622641"/>
    <w:rsid w:val="00626CF1"/>
    <w:rsid w:val="006418C4"/>
    <w:rsid w:val="00641FB2"/>
    <w:rsid w:val="00643DD9"/>
    <w:rsid w:val="00662080"/>
    <w:rsid w:val="00673CEE"/>
    <w:rsid w:val="00684DA5"/>
    <w:rsid w:val="006874F4"/>
    <w:rsid w:val="00694E1D"/>
    <w:rsid w:val="006B07F7"/>
    <w:rsid w:val="006B1870"/>
    <w:rsid w:val="006B2E36"/>
    <w:rsid w:val="006C12AE"/>
    <w:rsid w:val="006C24EA"/>
    <w:rsid w:val="006C7120"/>
    <w:rsid w:val="006C796C"/>
    <w:rsid w:val="006C7CDD"/>
    <w:rsid w:val="006D1D91"/>
    <w:rsid w:val="006D2E6A"/>
    <w:rsid w:val="006D387E"/>
    <w:rsid w:val="006D6A23"/>
    <w:rsid w:val="006D6D8A"/>
    <w:rsid w:val="006E1C1E"/>
    <w:rsid w:val="006E4CAE"/>
    <w:rsid w:val="006E4DA1"/>
    <w:rsid w:val="006F0013"/>
    <w:rsid w:val="00702AD1"/>
    <w:rsid w:val="007047F3"/>
    <w:rsid w:val="00705371"/>
    <w:rsid w:val="00706294"/>
    <w:rsid w:val="00706C16"/>
    <w:rsid w:val="00707339"/>
    <w:rsid w:val="007220C6"/>
    <w:rsid w:val="007224F6"/>
    <w:rsid w:val="00735356"/>
    <w:rsid w:val="00737032"/>
    <w:rsid w:val="007477BF"/>
    <w:rsid w:val="007540C6"/>
    <w:rsid w:val="00762C9C"/>
    <w:rsid w:val="00764B9D"/>
    <w:rsid w:val="00770960"/>
    <w:rsid w:val="007754C1"/>
    <w:rsid w:val="00780AA7"/>
    <w:rsid w:val="00780D1D"/>
    <w:rsid w:val="007826E4"/>
    <w:rsid w:val="00782899"/>
    <w:rsid w:val="00785C72"/>
    <w:rsid w:val="0078627A"/>
    <w:rsid w:val="00786E2F"/>
    <w:rsid w:val="0079337D"/>
    <w:rsid w:val="007A0ABF"/>
    <w:rsid w:val="007B36DB"/>
    <w:rsid w:val="007B47B2"/>
    <w:rsid w:val="007D33B1"/>
    <w:rsid w:val="007D3D08"/>
    <w:rsid w:val="007D7961"/>
    <w:rsid w:val="007E307E"/>
    <w:rsid w:val="007E3576"/>
    <w:rsid w:val="007E35AA"/>
    <w:rsid w:val="007F1ACF"/>
    <w:rsid w:val="00803510"/>
    <w:rsid w:val="008052E9"/>
    <w:rsid w:val="008256A4"/>
    <w:rsid w:val="00826C20"/>
    <w:rsid w:val="008305DC"/>
    <w:rsid w:val="008305F1"/>
    <w:rsid w:val="0083607A"/>
    <w:rsid w:val="00856EAB"/>
    <w:rsid w:val="008700E6"/>
    <w:rsid w:val="00871747"/>
    <w:rsid w:val="00872AA9"/>
    <w:rsid w:val="008749D5"/>
    <w:rsid w:val="0088032C"/>
    <w:rsid w:val="00882B96"/>
    <w:rsid w:val="00884DC0"/>
    <w:rsid w:val="00884EFA"/>
    <w:rsid w:val="00884F40"/>
    <w:rsid w:val="008859F5"/>
    <w:rsid w:val="008925B5"/>
    <w:rsid w:val="008A3C9B"/>
    <w:rsid w:val="008A6DA7"/>
    <w:rsid w:val="008C1552"/>
    <w:rsid w:val="008C6540"/>
    <w:rsid w:val="008D5263"/>
    <w:rsid w:val="008D5D7C"/>
    <w:rsid w:val="008D6F83"/>
    <w:rsid w:val="008E09EE"/>
    <w:rsid w:val="008E4CD2"/>
    <w:rsid w:val="008E5FAC"/>
    <w:rsid w:val="008E6679"/>
    <w:rsid w:val="008F237D"/>
    <w:rsid w:val="008F2E9A"/>
    <w:rsid w:val="008F40ED"/>
    <w:rsid w:val="00904ADD"/>
    <w:rsid w:val="0092289E"/>
    <w:rsid w:val="00927596"/>
    <w:rsid w:val="00937400"/>
    <w:rsid w:val="00945006"/>
    <w:rsid w:val="00961C27"/>
    <w:rsid w:val="009626C1"/>
    <w:rsid w:val="00966878"/>
    <w:rsid w:val="00971C37"/>
    <w:rsid w:val="009726A2"/>
    <w:rsid w:val="00972C9D"/>
    <w:rsid w:val="00976BBF"/>
    <w:rsid w:val="009778F4"/>
    <w:rsid w:val="00980E2F"/>
    <w:rsid w:val="009824B0"/>
    <w:rsid w:val="00994094"/>
    <w:rsid w:val="009A383F"/>
    <w:rsid w:val="009C28CF"/>
    <w:rsid w:val="009C5042"/>
    <w:rsid w:val="009C60BA"/>
    <w:rsid w:val="009D0A6A"/>
    <w:rsid w:val="009D1CD1"/>
    <w:rsid w:val="009D1CF9"/>
    <w:rsid w:val="009D2237"/>
    <w:rsid w:val="009D736A"/>
    <w:rsid w:val="009E1355"/>
    <w:rsid w:val="009E40BF"/>
    <w:rsid w:val="009F3EAC"/>
    <w:rsid w:val="009F4CCA"/>
    <w:rsid w:val="009F7618"/>
    <w:rsid w:val="00A114D5"/>
    <w:rsid w:val="00A12C19"/>
    <w:rsid w:val="00A1728A"/>
    <w:rsid w:val="00A17CAC"/>
    <w:rsid w:val="00A2364A"/>
    <w:rsid w:val="00A26343"/>
    <w:rsid w:val="00A35791"/>
    <w:rsid w:val="00A37C6C"/>
    <w:rsid w:val="00A40189"/>
    <w:rsid w:val="00A5044E"/>
    <w:rsid w:val="00A6199C"/>
    <w:rsid w:val="00A6538C"/>
    <w:rsid w:val="00A709B9"/>
    <w:rsid w:val="00A71E3B"/>
    <w:rsid w:val="00A72923"/>
    <w:rsid w:val="00A74F25"/>
    <w:rsid w:val="00A813BC"/>
    <w:rsid w:val="00A84F14"/>
    <w:rsid w:val="00A95375"/>
    <w:rsid w:val="00AA0919"/>
    <w:rsid w:val="00AA2FBD"/>
    <w:rsid w:val="00AA3849"/>
    <w:rsid w:val="00AB4CF4"/>
    <w:rsid w:val="00AC31C9"/>
    <w:rsid w:val="00AC49D2"/>
    <w:rsid w:val="00AC4F68"/>
    <w:rsid w:val="00AE00F1"/>
    <w:rsid w:val="00AE101D"/>
    <w:rsid w:val="00AE3174"/>
    <w:rsid w:val="00AE58A7"/>
    <w:rsid w:val="00AE7568"/>
    <w:rsid w:val="00B03F2E"/>
    <w:rsid w:val="00B04B00"/>
    <w:rsid w:val="00B103DE"/>
    <w:rsid w:val="00B137F2"/>
    <w:rsid w:val="00B14E42"/>
    <w:rsid w:val="00B176BE"/>
    <w:rsid w:val="00B2478E"/>
    <w:rsid w:val="00B27D0B"/>
    <w:rsid w:val="00B353F7"/>
    <w:rsid w:val="00B37D9D"/>
    <w:rsid w:val="00B440BB"/>
    <w:rsid w:val="00B47D28"/>
    <w:rsid w:val="00B47DED"/>
    <w:rsid w:val="00B5127A"/>
    <w:rsid w:val="00B56393"/>
    <w:rsid w:val="00B56575"/>
    <w:rsid w:val="00B6019C"/>
    <w:rsid w:val="00B632B2"/>
    <w:rsid w:val="00B64423"/>
    <w:rsid w:val="00B65900"/>
    <w:rsid w:val="00B7526F"/>
    <w:rsid w:val="00B92948"/>
    <w:rsid w:val="00B93B2A"/>
    <w:rsid w:val="00B96624"/>
    <w:rsid w:val="00B9692D"/>
    <w:rsid w:val="00BA024E"/>
    <w:rsid w:val="00BA09D0"/>
    <w:rsid w:val="00BA201A"/>
    <w:rsid w:val="00BA2EB6"/>
    <w:rsid w:val="00BA5E0C"/>
    <w:rsid w:val="00BA7D8D"/>
    <w:rsid w:val="00BB4DB1"/>
    <w:rsid w:val="00BB586B"/>
    <w:rsid w:val="00BB5909"/>
    <w:rsid w:val="00BB7455"/>
    <w:rsid w:val="00BC2069"/>
    <w:rsid w:val="00BC3311"/>
    <w:rsid w:val="00BC6DFB"/>
    <w:rsid w:val="00BD1727"/>
    <w:rsid w:val="00BD3F6A"/>
    <w:rsid w:val="00BE08FD"/>
    <w:rsid w:val="00BE2540"/>
    <w:rsid w:val="00BE2B73"/>
    <w:rsid w:val="00BF0701"/>
    <w:rsid w:val="00BF0B35"/>
    <w:rsid w:val="00BF7D30"/>
    <w:rsid w:val="00C04DCA"/>
    <w:rsid w:val="00C04EC1"/>
    <w:rsid w:val="00C0706D"/>
    <w:rsid w:val="00C25A77"/>
    <w:rsid w:val="00C336B7"/>
    <w:rsid w:val="00C37020"/>
    <w:rsid w:val="00C50B11"/>
    <w:rsid w:val="00C50C37"/>
    <w:rsid w:val="00C539E2"/>
    <w:rsid w:val="00C57F91"/>
    <w:rsid w:val="00C60719"/>
    <w:rsid w:val="00C61DB6"/>
    <w:rsid w:val="00C645B4"/>
    <w:rsid w:val="00C669AA"/>
    <w:rsid w:val="00C7039B"/>
    <w:rsid w:val="00C76211"/>
    <w:rsid w:val="00C86415"/>
    <w:rsid w:val="00C87340"/>
    <w:rsid w:val="00CA1213"/>
    <w:rsid w:val="00CA23D9"/>
    <w:rsid w:val="00CA74A0"/>
    <w:rsid w:val="00CB45E8"/>
    <w:rsid w:val="00CB70BF"/>
    <w:rsid w:val="00CC6CCD"/>
    <w:rsid w:val="00CC7F0B"/>
    <w:rsid w:val="00CD0655"/>
    <w:rsid w:val="00CD4377"/>
    <w:rsid w:val="00CD4803"/>
    <w:rsid w:val="00CD5A7B"/>
    <w:rsid w:val="00CD6E21"/>
    <w:rsid w:val="00CE4227"/>
    <w:rsid w:val="00CE5795"/>
    <w:rsid w:val="00CE6770"/>
    <w:rsid w:val="00CF616E"/>
    <w:rsid w:val="00D04D71"/>
    <w:rsid w:val="00D11C07"/>
    <w:rsid w:val="00D175D2"/>
    <w:rsid w:val="00D2015F"/>
    <w:rsid w:val="00D37B85"/>
    <w:rsid w:val="00D4036A"/>
    <w:rsid w:val="00D42943"/>
    <w:rsid w:val="00D47916"/>
    <w:rsid w:val="00D629DD"/>
    <w:rsid w:val="00D678BE"/>
    <w:rsid w:val="00D7358A"/>
    <w:rsid w:val="00D73789"/>
    <w:rsid w:val="00D7479D"/>
    <w:rsid w:val="00D76774"/>
    <w:rsid w:val="00D768E6"/>
    <w:rsid w:val="00D77410"/>
    <w:rsid w:val="00D776CD"/>
    <w:rsid w:val="00D812E4"/>
    <w:rsid w:val="00D84284"/>
    <w:rsid w:val="00D876CD"/>
    <w:rsid w:val="00D963F0"/>
    <w:rsid w:val="00DA260F"/>
    <w:rsid w:val="00DA5D71"/>
    <w:rsid w:val="00DB027C"/>
    <w:rsid w:val="00DB23BF"/>
    <w:rsid w:val="00DB483B"/>
    <w:rsid w:val="00DD427B"/>
    <w:rsid w:val="00DE23DD"/>
    <w:rsid w:val="00DE2A73"/>
    <w:rsid w:val="00DE5A4C"/>
    <w:rsid w:val="00E02B67"/>
    <w:rsid w:val="00E04254"/>
    <w:rsid w:val="00E0434F"/>
    <w:rsid w:val="00E07164"/>
    <w:rsid w:val="00E11F2D"/>
    <w:rsid w:val="00E242A8"/>
    <w:rsid w:val="00E2468E"/>
    <w:rsid w:val="00E246F1"/>
    <w:rsid w:val="00E251CD"/>
    <w:rsid w:val="00E26677"/>
    <w:rsid w:val="00E3201C"/>
    <w:rsid w:val="00E3282A"/>
    <w:rsid w:val="00E33732"/>
    <w:rsid w:val="00E35B58"/>
    <w:rsid w:val="00E42FBF"/>
    <w:rsid w:val="00E43430"/>
    <w:rsid w:val="00E44538"/>
    <w:rsid w:val="00E5185B"/>
    <w:rsid w:val="00E5657C"/>
    <w:rsid w:val="00E57D04"/>
    <w:rsid w:val="00E710C8"/>
    <w:rsid w:val="00E74865"/>
    <w:rsid w:val="00E873AC"/>
    <w:rsid w:val="00E9409F"/>
    <w:rsid w:val="00EA0A14"/>
    <w:rsid w:val="00EA0B6F"/>
    <w:rsid w:val="00EA548C"/>
    <w:rsid w:val="00EB659D"/>
    <w:rsid w:val="00EC26C5"/>
    <w:rsid w:val="00ED0153"/>
    <w:rsid w:val="00ED6F93"/>
    <w:rsid w:val="00EE1E0A"/>
    <w:rsid w:val="00EE24A9"/>
    <w:rsid w:val="00EE2CBA"/>
    <w:rsid w:val="00EF3305"/>
    <w:rsid w:val="00EF4A88"/>
    <w:rsid w:val="00F076E4"/>
    <w:rsid w:val="00F07C13"/>
    <w:rsid w:val="00F1366E"/>
    <w:rsid w:val="00F2203E"/>
    <w:rsid w:val="00F229F1"/>
    <w:rsid w:val="00F2443E"/>
    <w:rsid w:val="00F254AD"/>
    <w:rsid w:val="00F35386"/>
    <w:rsid w:val="00F3588F"/>
    <w:rsid w:val="00F37D95"/>
    <w:rsid w:val="00F42556"/>
    <w:rsid w:val="00F5126C"/>
    <w:rsid w:val="00F53AFB"/>
    <w:rsid w:val="00F53CF5"/>
    <w:rsid w:val="00F61552"/>
    <w:rsid w:val="00F730D5"/>
    <w:rsid w:val="00F74192"/>
    <w:rsid w:val="00F74A77"/>
    <w:rsid w:val="00F75B97"/>
    <w:rsid w:val="00F95ECF"/>
    <w:rsid w:val="00F97724"/>
    <w:rsid w:val="00FB740F"/>
    <w:rsid w:val="00FC0EF3"/>
    <w:rsid w:val="00FC4180"/>
    <w:rsid w:val="00FD1F24"/>
    <w:rsid w:val="00FD3BB4"/>
    <w:rsid w:val="00FD7CB8"/>
    <w:rsid w:val="00FE7687"/>
    <w:rsid w:val="00FE7DF2"/>
    <w:rsid w:val="00FF1FC5"/>
    <w:rsid w:val="00FF2348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EC7E3"/>
  <w15:docId w15:val="{A7468A59-03CA-44C2-B7E7-F13BA37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E251CD"/>
    <w:pPr>
      <w:ind w:left="720"/>
      <w:contextualSpacing/>
    </w:pPr>
  </w:style>
  <w:style w:type="table" w:styleId="Tabela-Siatka">
    <w:name w:val="Table Grid"/>
    <w:basedOn w:val="Standardowy"/>
    <w:rsid w:val="0015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559A8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B04B0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atl.edu.pl/uploads/RODO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atl.edu.pl/uploads/REGULAMI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3609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ZAWIERANIE_UMOW_HANDLOWYCH</vt:lpstr>
    </vt:vector>
  </TitlesOfParts>
  <Company/>
  <LinksUpToDate>false</LinksUpToDate>
  <CharactersWithSpaces>25217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ZAWIERANIE_UMOW_HANDLOWYCH</dc:title>
  <dc:creator>Majchrowski</dc:creator>
  <cp:lastModifiedBy>Jerzy Kośmider</cp:lastModifiedBy>
  <cp:revision>10</cp:revision>
  <cp:lastPrinted>2022-06-07T06:45:00Z</cp:lastPrinted>
  <dcterms:created xsi:type="dcterms:W3CDTF">2023-11-10T11:44:00Z</dcterms:created>
  <dcterms:modified xsi:type="dcterms:W3CDTF">2024-03-21T10:52:00Z</dcterms:modified>
</cp:coreProperties>
</file>