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577C13">
        <w:trPr>
          <w:trHeight w:val="1877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051B2628" w14:textId="77777777" w:rsidR="00D04744" w:rsidRDefault="00D04744" w:rsidP="00577C13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 w:rsidRPr="00D04744">
              <w:rPr>
                <w:rFonts w:ascii="Calibri" w:hAnsi="Calibri"/>
                <w:color w:val="FFFFFF"/>
                <w:sz w:val="44"/>
                <w:szCs w:val="44"/>
              </w:rPr>
              <w:t xml:space="preserve">OSZCZĘDNOŚCI I OPTYMALIZACJA </w:t>
            </w:r>
          </w:p>
          <w:p w14:paraId="36857FDA" w14:textId="6ED8900D" w:rsidR="00E5312F" w:rsidRPr="00D80969" w:rsidRDefault="00D04744" w:rsidP="00D04744">
            <w:pPr>
              <w:pStyle w:val="Nagwek3"/>
              <w:spacing w:after="120"/>
              <w:jc w:val="center"/>
            </w:pPr>
            <w:r w:rsidRPr="00D04744">
              <w:rPr>
                <w:rFonts w:ascii="Calibri" w:hAnsi="Calibri"/>
                <w:color w:val="FFFFFF"/>
                <w:sz w:val="44"/>
                <w:szCs w:val="44"/>
              </w:rPr>
              <w:t>KOSZTÓW W ZAKUPACH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577C13">
        <w:trPr>
          <w:cantSplit/>
          <w:trHeight w:val="1808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6CC4D364" w:rsidR="00F86C43" w:rsidRDefault="00EF136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0E2064E3" w14:textId="6E7F1B6C" w:rsidR="00F912BD" w:rsidRDefault="00EF136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09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7323AB9D" w:rsidR="00D80969" w:rsidRPr="00183AFB" w:rsidRDefault="00EF136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  <w:r w:rsidR="00D80969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80969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114D7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7CD34AF4" w:rsidR="00F86C43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EF136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F1363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1648493E" w14:textId="528B106C" w:rsidR="00F86C43" w:rsidRDefault="00F86C4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EF1363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EF1363">
              <w:rPr>
                <w:rFonts w:asciiTheme="minorHAnsi" w:hAnsiTheme="minorHAnsi"/>
                <w:bCs/>
                <w:sz w:val="22"/>
                <w:szCs w:val="22"/>
              </w:rPr>
              <w:t>09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56F4E137" w14:textId="3DF6999B" w:rsidR="00D80969" w:rsidRPr="00401455" w:rsidRDefault="00EF136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25</w:t>
            </w:r>
            <w:r w:rsidR="00D80969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80969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A902AC">
      <w:pPr>
        <w:pStyle w:val="Nagwek7"/>
        <w:tabs>
          <w:tab w:val="clear" w:pos="2127"/>
          <w:tab w:val="clear" w:pos="10490"/>
        </w:tabs>
        <w:spacing w:before="24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5575F576" w14:textId="71FC5D6A" w:rsidR="00FB3B1A" w:rsidRPr="00B62623" w:rsidRDefault="00A902AC" w:rsidP="00A902AC">
      <w:pPr>
        <w:spacing w:after="240"/>
        <w:jc w:val="both"/>
        <w:rPr>
          <w:rFonts w:asciiTheme="minorHAnsi" w:hAnsiTheme="minorHAnsi"/>
          <w:iCs/>
          <w:sz w:val="20"/>
          <w:szCs w:val="20"/>
        </w:rPr>
      </w:pPr>
      <w:r w:rsidRPr="00A902AC">
        <w:rPr>
          <w:rFonts w:asciiTheme="minorHAnsi" w:hAnsiTheme="minorHAnsi"/>
          <w:iCs/>
          <w:sz w:val="20"/>
          <w:szCs w:val="20"/>
        </w:rPr>
        <w:t xml:space="preserve">Celem szkolenia jest przekazanie uczestnikom wiedzy i umiejętności umożliwiających skuteczną kontrolę nad kosztami zakupów </w:t>
      </w:r>
      <w:r>
        <w:rPr>
          <w:rFonts w:asciiTheme="minorHAnsi" w:hAnsiTheme="minorHAnsi"/>
          <w:iCs/>
          <w:sz w:val="20"/>
          <w:szCs w:val="20"/>
        </w:rPr>
        <w:t xml:space="preserve">                     </w:t>
      </w:r>
      <w:r w:rsidRPr="00A902AC">
        <w:rPr>
          <w:rFonts w:asciiTheme="minorHAnsi" w:hAnsiTheme="minorHAnsi"/>
          <w:iCs/>
          <w:sz w:val="20"/>
          <w:szCs w:val="20"/>
        </w:rPr>
        <w:t xml:space="preserve">w firmie oraz identyfikowanie sposobów oszczędności. Szkolenie "Oszczędności i optymalizacja kosztów w zakupach" przynosi wiele korzyści dla firmy, takich jak zwiększenie efektywności, oszczędności finansowe, poprawa komunikacji, wprowadzanie innowacji </w:t>
      </w:r>
      <w:r>
        <w:rPr>
          <w:rFonts w:asciiTheme="minorHAnsi" w:hAnsiTheme="minorHAnsi"/>
          <w:iCs/>
          <w:sz w:val="20"/>
          <w:szCs w:val="20"/>
        </w:rPr>
        <w:t xml:space="preserve">                          </w:t>
      </w:r>
      <w:r w:rsidRPr="00A902AC">
        <w:rPr>
          <w:rFonts w:asciiTheme="minorHAnsi" w:hAnsiTheme="minorHAnsi"/>
          <w:iCs/>
          <w:sz w:val="20"/>
          <w:szCs w:val="20"/>
        </w:rPr>
        <w:t>i doskonalenie umiejętności pracowników. To ważne narzędzie, które może przyczynić się do sukcesu firmy na rynku.</w:t>
      </w:r>
    </w:p>
    <w:p w14:paraId="259C0546" w14:textId="0C6ADF8A" w:rsidR="00030FF5" w:rsidRPr="00F42A5C" w:rsidRDefault="00030FF5" w:rsidP="005B6B02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454DDA80" w14:textId="77777777" w:rsidR="00D800E3" w:rsidRPr="00D800E3" w:rsidRDefault="00D800E3" w:rsidP="00ED2DE2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Szefów działów logistyki</w:t>
      </w:r>
    </w:p>
    <w:p w14:paraId="30B27269" w14:textId="77777777" w:rsidR="00D800E3" w:rsidRPr="00D800E3" w:rsidRDefault="00D800E3" w:rsidP="00ED2DE2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zakupów/zaopatrzenia</w:t>
      </w:r>
    </w:p>
    <w:p w14:paraId="34264D88" w14:textId="77777777" w:rsidR="00D800E3" w:rsidRPr="00D800E3" w:rsidRDefault="00D800E3" w:rsidP="00ED2DE2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zakupów/Zaopatrzeniowców</w:t>
      </w:r>
    </w:p>
    <w:p w14:paraId="11896590" w14:textId="72167E18" w:rsidR="00C63300" w:rsidRPr="00597D54" w:rsidRDefault="00C63300" w:rsidP="00597D54">
      <w:pPr>
        <w:pStyle w:val="Akapitzlist"/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1069CFA7" w14:textId="732934FE" w:rsidR="00030FF5" w:rsidRPr="00CA3CC1" w:rsidRDefault="0004208F" w:rsidP="00577C13">
      <w:pPr>
        <w:shd w:val="clear" w:color="auto" w:fill="244061" w:themeFill="accent1" w:themeFillShade="80"/>
        <w:spacing w:before="120" w:after="24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705B352D" w14:textId="3140257C" w:rsidR="00A902AC" w:rsidRPr="00A902AC" w:rsidRDefault="00A902AC" w:rsidP="00ED2DE2">
      <w:pPr>
        <w:pStyle w:val="Tekstpodstawowy2"/>
        <w:numPr>
          <w:ilvl w:val="0"/>
          <w:numId w:val="8"/>
        </w:numPr>
        <w:spacing w:before="360" w:after="120" w:line="276" w:lineRule="auto"/>
        <w:rPr>
          <w:rFonts w:ascii="Calibri" w:hAnsi="Calibri"/>
          <w:bCs/>
          <w:iCs/>
          <w:sz w:val="20"/>
          <w:szCs w:val="20"/>
        </w:rPr>
      </w:pPr>
      <w:r w:rsidRPr="00A902AC">
        <w:rPr>
          <w:rFonts w:ascii="Calibri" w:hAnsi="Calibri"/>
          <w:b/>
          <w:iCs/>
          <w:sz w:val="20"/>
          <w:szCs w:val="20"/>
        </w:rPr>
        <w:t>Zwiększenie efektywności:</w:t>
      </w:r>
      <w:r w:rsidRPr="00A902AC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S</w:t>
      </w:r>
      <w:r w:rsidRPr="00A902AC">
        <w:rPr>
          <w:rFonts w:ascii="Calibri" w:hAnsi="Calibri"/>
          <w:bCs/>
          <w:iCs/>
          <w:sz w:val="20"/>
          <w:szCs w:val="20"/>
        </w:rPr>
        <w:t>zkolenie pomoże pracownikom zrozumieć strategie oszczędnościowe i metody optymalizacji kosztów w zakupach. Dzięki temu będą w stanie lepiej planować, negocjować i realizować zakupy, co przyczyni się do zwiększenia efektywności całego procesu.</w:t>
      </w:r>
    </w:p>
    <w:p w14:paraId="761404F1" w14:textId="682AC5F4" w:rsidR="00A902AC" w:rsidRPr="00A902AC" w:rsidRDefault="00A902AC" w:rsidP="00ED2DE2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A902AC">
        <w:rPr>
          <w:rFonts w:ascii="Calibri" w:hAnsi="Calibri"/>
          <w:b/>
          <w:iCs/>
          <w:sz w:val="20"/>
          <w:szCs w:val="20"/>
        </w:rPr>
        <w:t>Oszczędności finansowe:</w:t>
      </w:r>
      <w:r w:rsidRPr="00A902AC">
        <w:rPr>
          <w:rFonts w:ascii="Calibri" w:hAnsi="Calibri"/>
          <w:bCs/>
          <w:iCs/>
          <w:sz w:val="20"/>
          <w:szCs w:val="20"/>
        </w:rPr>
        <w:t xml:space="preserve"> Szkolenie pomoże pracownikom nauczyć się identyfikować potencjalne oszczędności </w:t>
      </w:r>
      <w:r>
        <w:rPr>
          <w:rFonts w:ascii="Calibri" w:hAnsi="Calibri"/>
          <w:bCs/>
          <w:iCs/>
          <w:sz w:val="20"/>
          <w:szCs w:val="20"/>
        </w:rPr>
        <w:t xml:space="preserve">                        </w:t>
      </w:r>
      <w:r w:rsidRPr="00A902AC">
        <w:rPr>
          <w:rFonts w:ascii="Calibri" w:hAnsi="Calibri"/>
          <w:bCs/>
          <w:iCs/>
          <w:sz w:val="20"/>
          <w:szCs w:val="20"/>
        </w:rPr>
        <w:t>i wykorzystywać narzędzia oraz techniki pozwalające na redukcję kosztów. To może prowadzić do znacznych oszczędności finansowych dla firmy.</w:t>
      </w:r>
    </w:p>
    <w:p w14:paraId="790E8CA8" w14:textId="29274D20" w:rsidR="00A902AC" w:rsidRPr="00A902AC" w:rsidRDefault="00A902AC" w:rsidP="00ED2DE2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A902AC">
        <w:rPr>
          <w:rFonts w:ascii="Calibri" w:hAnsi="Calibri"/>
          <w:b/>
          <w:iCs/>
          <w:sz w:val="20"/>
          <w:szCs w:val="20"/>
        </w:rPr>
        <w:t>Poprawa komunikacji:</w:t>
      </w:r>
      <w:r w:rsidRPr="00A902AC">
        <w:rPr>
          <w:rFonts w:ascii="Calibri" w:hAnsi="Calibri"/>
          <w:bCs/>
          <w:iCs/>
          <w:sz w:val="20"/>
          <w:szCs w:val="20"/>
        </w:rPr>
        <w:t xml:space="preserve"> W ramach szkolenia pracownicy będą uczyć się, jak efektywnie komunikować się z dostawcami </w:t>
      </w:r>
      <w:r>
        <w:rPr>
          <w:rFonts w:ascii="Calibri" w:hAnsi="Calibri"/>
          <w:bCs/>
          <w:iCs/>
          <w:sz w:val="20"/>
          <w:szCs w:val="20"/>
        </w:rPr>
        <w:t xml:space="preserve">              </w:t>
      </w:r>
      <w:r w:rsidRPr="00A902AC">
        <w:rPr>
          <w:rFonts w:ascii="Calibri" w:hAnsi="Calibri"/>
          <w:bCs/>
          <w:iCs/>
          <w:sz w:val="20"/>
          <w:szCs w:val="20"/>
        </w:rPr>
        <w:t>i negocjować lepsze warunki zakupu. Poprawa umiejętności komunikacyjnych ma znaczący wpływ na zdolność do osiągania korzystnych umów zakupowych.</w:t>
      </w:r>
    </w:p>
    <w:p w14:paraId="3E36F3A8" w14:textId="77777777" w:rsidR="00A902AC" w:rsidRPr="00A902AC" w:rsidRDefault="00A902AC" w:rsidP="00ED2DE2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A902AC">
        <w:rPr>
          <w:rFonts w:ascii="Calibri" w:hAnsi="Calibri"/>
          <w:b/>
          <w:iCs/>
          <w:sz w:val="20"/>
          <w:szCs w:val="20"/>
        </w:rPr>
        <w:t>Wdrażanie innowacji:</w:t>
      </w:r>
      <w:r w:rsidRPr="00A902AC">
        <w:rPr>
          <w:rFonts w:ascii="Calibri" w:hAnsi="Calibri"/>
          <w:bCs/>
          <w:iCs/>
          <w:sz w:val="20"/>
          <w:szCs w:val="20"/>
        </w:rPr>
        <w:t xml:space="preserve"> Szkolenie może prowadzić do zwiększenia świadomości pracowników na temat nowych technologii, narzędzi i strategii w zakresie zakupów. To może przyczynić się do wprowadzania innowacyjnych rozwiązań, które wpłyną na poprawę działań zakupowych.</w:t>
      </w:r>
    </w:p>
    <w:p w14:paraId="0B363DDE" w14:textId="186C6246" w:rsidR="00A902AC" w:rsidRDefault="00A902AC" w:rsidP="00ED2DE2">
      <w:pPr>
        <w:pStyle w:val="Tekstpodstawowy2"/>
        <w:numPr>
          <w:ilvl w:val="0"/>
          <w:numId w:val="8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A902AC">
        <w:rPr>
          <w:rFonts w:ascii="Calibri" w:hAnsi="Calibri"/>
          <w:b/>
          <w:iCs/>
          <w:sz w:val="20"/>
          <w:szCs w:val="20"/>
        </w:rPr>
        <w:t>Doskonalenie umiejętności:</w:t>
      </w:r>
      <w:r w:rsidRPr="00A902AC">
        <w:rPr>
          <w:rFonts w:ascii="Calibri" w:hAnsi="Calibri"/>
          <w:bCs/>
          <w:iCs/>
          <w:sz w:val="20"/>
          <w:szCs w:val="20"/>
        </w:rPr>
        <w:t xml:space="preserve"> Szkolenie pozwoli pracownikom rozwijać swoje umiejętności w zakresie zarządzania zakupami, negocjacji, analizy danych i podejmowania decyzji. Jest to szczególnie ważne dla osób zajmujących się tym obszarem </w:t>
      </w:r>
      <w:r>
        <w:rPr>
          <w:rFonts w:ascii="Calibri" w:hAnsi="Calibri"/>
          <w:bCs/>
          <w:iCs/>
          <w:sz w:val="20"/>
          <w:szCs w:val="20"/>
        </w:rPr>
        <w:t xml:space="preserve">                   </w:t>
      </w:r>
      <w:r w:rsidRPr="00A902AC">
        <w:rPr>
          <w:rFonts w:ascii="Calibri" w:hAnsi="Calibri"/>
          <w:bCs/>
          <w:iCs/>
          <w:sz w:val="20"/>
          <w:szCs w:val="20"/>
        </w:rPr>
        <w:t>w firmie, ponieważ pozwoli im na doskonalenie swojej pracy.</w:t>
      </w:r>
    </w:p>
    <w:p w14:paraId="5E98AA81" w14:textId="77777777" w:rsidR="00577C13" w:rsidRDefault="00577C13" w:rsidP="00577C13">
      <w:pPr>
        <w:pStyle w:val="Tekstpodstawowy2"/>
        <w:spacing w:line="276" w:lineRule="auto"/>
        <w:rPr>
          <w:rFonts w:ascii="Calibri" w:hAnsi="Calibri"/>
          <w:bCs/>
          <w:iCs/>
          <w:sz w:val="20"/>
          <w:szCs w:val="20"/>
        </w:rPr>
      </w:pPr>
    </w:p>
    <w:p w14:paraId="0DC13E6E" w14:textId="77777777" w:rsidR="00577C13" w:rsidRPr="00597D54" w:rsidRDefault="00577C13" w:rsidP="00577C13">
      <w:pPr>
        <w:pStyle w:val="Tekstpodstawowy2"/>
        <w:spacing w:line="276" w:lineRule="auto"/>
        <w:rPr>
          <w:rFonts w:ascii="Calibri" w:hAnsi="Calibri"/>
          <w:bCs/>
          <w:iCs/>
          <w:sz w:val="20"/>
          <w:szCs w:val="20"/>
        </w:rPr>
      </w:pP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6E3B5558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593B386" w14:textId="3D19443E" w:rsidR="0056537F" w:rsidRPr="0056537F" w:rsidRDefault="0056537F" w:rsidP="00ED2DE2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653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Podstawy zarządzania kosztami w firmie.</w:t>
      </w:r>
    </w:p>
    <w:p w14:paraId="12954079" w14:textId="77777777" w:rsidR="0056537F" w:rsidRPr="0056537F" w:rsidRDefault="0056537F" w:rsidP="00ED2DE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Wprowadzenie do zarządzania kosztami.</w:t>
      </w:r>
    </w:p>
    <w:p w14:paraId="02D72ADE" w14:textId="77777777" w:rsidR="0056537F" w:rsidRPr="0056537F" w:rsidRDefault="0056537F" w:rsidP="00ED2DE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Tworzenie budżetu zakupów.</w:t>
      </w:r>
    </w:p>
    <w:p w14:paraId="13943003" w14:textId="77777777" w:rsidR="0056537F" w:rsidRPr="0056537F" w:rsidRDefault="0056537F" w:rsidP="00ED2DE2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Analiza kosztów i identyfikacja obszarów do oszczędności.</w:t>
      </w:r>
    </w:p>
    <w:p w14:paraId="3702A0C2" w14:textId="495CF39A" w:rsidR="0056537F" w:rsidRPr="0056537F" w:rsidRDefault="0056537F" w:rsidP="00ED2DE2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653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Skuteczne zarządzanie dostawcami.</w:t>
      </w:r>
    </w:p>
    <w:p w14:paraId="340F8B26" w14:textId="77777777" w:rsidR="0056537F" w:rsidRPr="0056537F" w:rsidRDefault="0056537F" w:rsidP="00ED2DE2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Proces selekcji dostawców.</w:t>
      </w:r>
    </w:p>
    <w:p w14:paraId="535A0C71" w14:textId="77777777" w:rsidR="0056537F" w:rsidRPr="0056537F" w:rsidRDefault="0056537F" w:rsidP="00ED2DE2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Negocjacje z dostawcami.</w:t>
      </w:r>
    </w:p>
    <w:p w14:paraId="409C2A82" w14:textId="77777777" w:rsidR="0056537F" w:rsidRPr="0056537F" w:rsidRDefault="0056537F" w:rsidP="00ED2DE2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Analiza jakości i kosztów dostaw.</w:t>
      </w:r>
    </w:p>
    <w:p w14:paraId="4217A6CD" w14:textId="21A7920E" w:rsidR="0056537F" w:rsidRPr="0056537F" w:rsidRDefault="0056537F" w:rsidP="00ED2DE2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653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Optymalizacja procesu zakupowego.</w:t>
      </w:r>
    </w:p>
    <w:p w14:paraId="25539343" w14:textId="77777777" w:rsidR="0056537F" w:rsidRPr="0056537F" w:rsidRDefault="0056537F" w:rsidP="00ED2DE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Tworzenie efektywnych procedur zakupowych.</w:t>
      </w:r>
    </w:p>
    <w:p w14:paraId="12454184" w14:textId="77777777" w:rsidR="0056537F" w:rsidRPr="0056537F" w:rsidRDefault="0056537F" w:rsidP="00ED2DE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Wykorzystanie nowoczesnych narzędzi i technologii zakupowych.</w:t>
      </w:r>
    </w:p>
    <w:p w14:paraId="05EF2612" w14:textId="77777777" w:rsidR="0056537F" w:rsidRPr="0056537F" w:rsidRDefault="0056537F" w:rsidP="00ED2DE2">
      <w:pPr>
        <w:pStyle w:val="Akapitzlist"/>
        <w:numPr>
          <w:ilvl w:val="0"/>
          <w:numId w:val="12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Monitorowanie i kontrola kosztów zakupów.</w:t>
      </w:r>
    </w:p>
    <w:p w14:paraId="42942E18" w14:textId="0337A61C" w:rsidR="0056537F" w:rsidRPr="0056537F" w:rsidRDefault="0056537F" w:rsidP="00ED2DE2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653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Analiza i optymalizacja kosztów transportu i logistyki.</w:t>
      </w:r>
    </w:p>
    <w:p w14:paraId="61D9AAA6" w14:textId="77777777" w:rsidR="0056537F" w:rsidRPr="0056537F" w:rsidRDefault="0056537F" w:rsidP="00ED2DE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Wybór optymalnych tras i środków transportu.</w:t>
      </w:r>
    </w:p>
    <w:p w14:paraId="76749FA8" w14:textId="77777777" w:rsidR="0056537F" w:rsidRPr="0056537F" w:rsidRDefault="0056537F" w:rsidP="00ED2DE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Negocjacje z dostawcami usług logistycznych.</w:t>
      </w:r>
    </w:p>
    <w:p w14:paraId="731DEBCF" w14:textId="77777777" w:rsidR="0056537F" w:rsidRPr="0056537F" w:rsidRDefault="0056537F" w:rsidP="00ED2DE2">
      <w:pPr>
        <w:pStyle w:val="Akapitzlist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Zarządzanie kosztami magazynowania i dystrybucji.</w:t>
      </w:r>
    </w:p>
    <w:p w14:paraId="5DEC6719" w14:textId="1EB3C1A5" w:rsidR="0056537F" w:rsidRPr="0056537F" w:rsidRDefault="0056537F" w:rsidP="00ED2DE2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653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Zarządzanie relacjami z dostawcami.</w:t>
      </w:r>
    </w:p>
    <w:p w14:paraId="085230AF" w14:textId="77777777" w:rsidR="0056537F" w:rsidRPr="0056537F" w:rsidRDefault="0056537F" w:rsidP="00ED2DE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Budowanie długoterminowych relacji z dostawcami.</w:t>
      </w:r>
    </w:p>
    <w:p w14:paraId="54225ACD" w14:textId="77777777" w:rsidR="0056537F" w:rsidRPr="0056537F" w:rsidRDefault="0056537F" w:rsidP="00ED2DE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Współpraca z dostawcami w zakresie identyfikacji oszczędności.</w:t>
      </w:r>
    </w:p>
    <w:p w14:paraId="228B6F13" w14:textId="45025146" w:rsidR="00D337D4" w:rsidRPr="0056537F" w:rsidRDefault="0056537F" w:rsidP="00ED2DE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537F">
        <w:rPr>
          <w:rFonts w:asciiTheme="minorHAnsi" w:hAnsiTheme="minorHAnsi" w:cstheme="minorHAnsi"/>
          <w:sz w:val="20"/>
          <w:szCs w:val="20"/>
        </w:rPr>
        <w:t>Zastosowanie technik negocjacyjnych w relacjach z dostawcami.</w:t>
      </w:r>
    </w:p>
    <w:p w14:paraId="234C1781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9F92D0" w14:textId="77777777" w:rsidR="00577C13" w:rsidRPr="00577C13" w:rsidRDefault="00577C13" w:rsidP="00577C13">
      <w:pPr>
        <w:pStyle w:val="Tekstpodstawowy2"/>
        <w:shd w:val="clear" w:color="auto" w:fill="244061" w:themeFill="accent1" w:themeFillShade="80"/>
        <w:spacing w:before="240" w:after="240"/>
        <w:rPr>
          <w:rFonts w:ascii="Calibri" w:hAnsi="Calibri"/>
          <w:b/>
          <w:color w:val="FFFFFF" w:themeColor="background1"/>
          <w:sz w:val="20"/>
          <w:szCs w:val="20"/>
        </w:rPr>
      </w:pPr>
      <w:r w:rsidRPr="00577C13">
        <w:rPr>
          <w:rFonts w:ascii="Calibri" w:hAnsi="Calibri"/>
          <w:b/>
          <w:iCs/>
          <w:color w:val="FFFFFF" w:themeColor="background1"/>
          <w:sz w:val="20"/>
          <w:szCs w:val="20"/>
        </w:rPr>
        <w:t>Metody szkoleniowe:</w:t>
      </w:r>
    </w:p>
    <w:p w14:paraId="31CFDEED" w14:textId="77777777" w:rsidR="00577C13" w:rsidRPr="00ED0002" w:rsidRDefault="00577C13" w:rsidP="00ED2DE2">
      <w:pPr>
        <w:pStyle w:val="Akapitzlist"/>
        <w:numPr>
          <w:ilvl w:val="0"/>
          <w:numId w:val="7"/>
        </w:numPr>
        <w:spacing w:after="24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0EA7E7C4" w14:textId="77777777" w:rsidR="00577C13" w:rsidRPr="00ED0002" w:rsidRDefault="00577C13" w:rsidP="00ED2DE2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5A73107C" w14:textId="77777777" w:rsidR="00577C13" w:rsidRPr="00ED0002" w:rsidRDefault="00577C13" w:rsidP="00ED2DE2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0B4C4D6D" w14:textId="77777777" w:rsidR="00577C13" w:rsidRPr="00ED0002" w:rsidRDefault="00577C13" w:rsidP="00ED2DE2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0943030D" w14:textId="77777777" w:rsidR="00577C13" w:rsidRDefault="00577C13" w:rsidP="00ED2DE2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FA8D699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40E9C92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6D0E82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89CE98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542E79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64731E9" w14:textId="77777777" w:rsidR="00577C13" w:rsidRDefault="00577C13" w:rsidP="00C45F4C">
      <w:pPr>
        <w:rPr>
          <w:rFonts w:asciiTheme="minorHAnsi" w:hAnsiTheme="minorHAnsi" w:cstheme="minorHAnsi"/>
          <w:sz w:val="20"/>
          <w:szCs w:val="20"/>
        </w:rPr>
      </w:pPr>
    </w:p>
    <w:p w14:paraId="4E7335EB" w14:textId="77777777" w:rsidR="00577C13" w:rsidRDefault="00577C13" w:rsidP="00C45F4C">
      <w:pPr>
        <w:rPr>
          <w:rFonts w:asciiTheme="minorHAnsi" w:hAnsiTheme="minorHAnsi" w:cstheme="minorHAnsi"/>
          <w:sz w:val="20"/>
          <w:szCs w:val="20"/>
        </w:rPr>
      </w:pPr>
    </w:p>
    <w:p w14:paraId="4E959F93" w14:textId="77777777" w:rsidR="00577C13" w:rsidRDefault="00577C13" w:rsidP="00C45F4C">
      <w:pPr>
        <w:rPr>
          <w:rFonts w:asciiTheme="minorHAnsi" w:hAnsiTheme="minorHAnsi" w:cstheme="minorHAnsi"/>
          <w:sz w:val="20"/>
          <w:szCs w:val="20"/>
        </w:rPr>
      </w:pPr>
    </w:p>
    <w:p w14:paraId="70214364" w14:textId="77777777" w:rsidR="00577C13" w:rsidRDefault="00577C13" w:rsidP="00C45F4C">
      <w:pPr>
        <w:rPr>
          <w:rFonts w:asciiTheme="minorHAnsi" w:hAnsiTheme="minorHAnsi" w:cstheme="minorHAnsi"/>
          <w:sz w:val="20"/>
          <w:szCs w:val="20"/>
        </w:rPr>
      </w:pPr>
    </w:p>
    <w:p w14:paraId="2D90E4E3" w14:textId="77777777" w:rsidR="00577C13" w:rsidRDefault="00577C13" w:rsidP="00C45F4C">
      <w:pPr>
        <w:rPr>
          <w:rFonts w:asciiTheme="minorHAnsi" w:hAnsiTheme="minorHAnsi" w:cstheme="minorHAnsi"/>
          <w:sz w:val="20"/>
          <w:szCs w:val="20"/>
        </w:rPr>
      </w:pPr>
    </w:p>
    <w:p w14:paraId="488C6A24" w14:textId="77777777" w:rsidR="00577C13" w:rsidRDefault="00577C13" w:rsidP="00C45F4C">
      <w:pPr>
        <w:rPr>
          <w:rFonts w:asciiTheme="minorHAnsi" w:hAnsiTheme="minorHAnsi" w:cstheme="minorHAnsi"/>
          <w:sz w:val="20"/>
          <w:szCs w:val="20"/>
        </w:rPr>
      </w:pPr>
    </w:p>
    <w:p w14:paraId="7AB33113" w14:textId="77777777" w:rsidR="008B46C1" w:rsidRDefault="008B46C1" w:rsidP="00B219CB">
      <w:pPr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56183955" w14:textId="77777777" w:rsidR="00B219CB" w:rsidRPr="008405EB" w:rsidRDefault="00B219CB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8A0CE9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4F5D5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BDBD4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CE284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6EC5C4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D59C8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DE243D4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C50E79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6502A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922F55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B8515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806BAC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3A70898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7D21C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20E8B83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F3F58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22C20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D7986A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E56D6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3AA2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8D880F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71D5CC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D7FAC8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7CCA1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8F7FF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2DC3D6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4DB89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DAEBED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CA9CA5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60951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F634C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 </w:t>
      </w:r>
    </w:p>
    <w:p w14:paraId="279FBEA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C930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2A165F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55110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AF369A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72812F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7BC6C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85DE6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767E0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E906CC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72B667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122DD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34ADF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B024F7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AF82B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765D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4A2F5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07247F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F60A3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DF263E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641942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DC8CF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4194E9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541C30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513014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8076C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599D5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8F4EAE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E4FF9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2DC08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1840AC1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405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522774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05A053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886EF9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5139DE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F0975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9EB3CF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5CDFB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E06A18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2D514B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EA97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F8642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DF077A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D2C29A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2E0121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7BEC65B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7B25C4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0B11C4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722430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E32C4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A6FD359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F0BAAB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DA1F15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FFD89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5525E8F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2CF4D23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5CF015F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8E7D2FC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95D795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52F09AD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8930941" w14:textId="77777777" w:rsidR="00ED0002" w:rsidRPr="002B668A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8A0CE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8A0CE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8A0CE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8A0CE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ED2DE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8A0CE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ED2DE2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ED2DE2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Firefox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), podstawowa kamera internetowa i mikrofon, dostęp do sieci Internet. </w:t>
                  </w:r>
                </w:p>
                <w:p w14:paraId="547DC866" w14:textId="77777777" w:rsidR="00FD300C" w:rsidRPr="00474291" w:rsidRDefault="00FD300C" w:rsidP="00ED2DE2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 łącza internetowego odbiorcy to 10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/s, zalecana: 25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ED2DE2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 kilka dni przed szkoleniem z każdym uczestnikiem zostanie przeprowadzony test połączenia na platformie online. Szkolenia realizujemy za pośrednictwem platform: Zoom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Meetings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1A3A4694" w14:textId="77777777" w:rsidR="008B26AD" w:rsidRPr="008B26AD" w:rsidRDefault="008B26AD" w:rsidP="008B26AD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8B26A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14.06.2024</w:t>
                  </w:r>
                </w:p>
                <w:p w14:paraId="48B24E58" w14:textId="77777777" w:rsidR="008B26AD" w:rsidRPr="008B26AD" w:rsidRDefault="008B26AD" w:rsidP="008B26AD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8B26A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20.09.2024</w:t>
                  </w:r>
                </w:p>
                <w:p w14:paraId="4CF45B95" w14:textId="7B7450BE" w:rsidR="008B26AD" w:rsidRPr="000954AE" w:rsidRDefault="008B26AD" w:rsidP="008B26AD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8B26A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26.11.2024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186B1ABB" w:rsidR="000B6249" w:rsidRDefault="008B26AD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07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7274FE2" w14:textId="7BC812C8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8B26AD">
                    <w:rPr>
                      <w:rFonts w:ascii="Calibri" w:hAnsi="Calibri"/>
                      <w:bCs/>
                      <w:sz w:val="20"/>
                      <w:szCs w:val="20"/>
                    </w:rPr>
                    <w:t>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8B26AD">
                    <w:rPr>
                      <w:rFonts w:ascii="Calibri" w:hAnsi="Calibri"/>
                      <w:bCs/>
                      <w:sz w:val="20"/>
                      <w:szCs w:val="20"/>
                    </w:rPr>
                    <w:t>09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258919E2" w:rsidR="00E46A4C" w:rsidRPr="00D756A4" w:rsidRDefault="008B26AD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19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.1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Szkolenie odbywa się w czasie rzeczywistym na platformie online Zoom </w:t>
                  </w:r>
                  <w:proofErr w:type="spellStart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Meetings</w:t>
                  </w:r>
                  <w:proofErr w:type="spellEnd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0F77080E" w14:textId="6DFB066F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ED2DE2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24B829F7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 w:rsidR="002916C3">
              <w:rPr>
                <w:rFonts w:ascii="Calibri" w:hAnsi="Calibri"/>
                <w:b/>
                <w:color w:val="A50021"/>
                <w:sz w:val="20"/>
                <w:szCs w:val="20"/>
              </w:rPr>
              <w:t>790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2AFC4997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2916C3">
              <w:rPr>
                <w:rFonts w:ascii="Calibri" w:hAnsi="Calibri"/>
                <w:b/>
                <w:sz w:val="20"/>
                <w:szCs w:val="20"/>
              </w:rPr>
              <w:t>890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2D0865FD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C1A00" w14:textId="77777777" w:rsidR="00CA709D" w:rsidRPr="00CA709D" w:rsidRDefault="00CA709D" w:rsidP="00CA70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A709D">
                    <w:rPr>
                      <w:rFonts w:asciiTheme="minorHAnsi" w:hAnsiTheme="minorHAnsi"/>
                      <w:sz w:val="20"/>
                      <w:szCs w:val="20"/>
                    </w:rPr>
                    <w:t>13.06.2024</w:t>
                  </w:r>
                </w:p>
                <w:p w14:paraId="4FDE25B3" w14:textId="77777777" w:rsidR="00CA709D" w:rsidRPr="00CA709D" w:rsidRDefault="00CA709D" w:rsidP="00CA70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A709D">
                    <w:rPr>
                      <w:rFonts w:asciiTheme="minorHAnsi" w:hAnsiTheme="minorHAnsi"/>
                      <w:sz w:val="20"/>
                      <w:szCs w:val="20"/>
                    </w:rPr>
                    <w:t>19.09.2024</w:t>
                  </w:r>
                </w:p>
                <w:p w14:paraId="6E515FF9" w14:textId="18592A9B" w:rsidR="00CA709D" w:rsidRPr="00935E4D" w:rsidRDefault="00CA709D" w:rsidP="00CA70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A709D">
                    <w:rPr>
                      <w:rFonts w:asciiTheme="minorHAnsi" w:hAnsiTheme="minorHAnsi"/>
                      <w:sz w:val="20"/>
                      <w:szCs w:val="20"/>
                    </w:rPr>
                    <w:t>25.11.2024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6DCE82D6" w:rsidR="004B7249" w:rsidRDefault="00691754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CA709D"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CA709D">
                    <w:rPr>
                      <w:rFonts w:ascii="Calibri" w:hAnsi="Calibri"/>
                      <w:bCs/>
                      <w:sz w:val="20"/>
                      <w:szCs w:val="20"/>
                    </w:rPr>
                    <w:t>6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2E7B4C40" w14:textId="178CD37E" w:rsidR="00E32C4F" w:rsidRDefault="00CA709D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11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42DBC8DF" w14:textId="574497EE" w:rsidR="00691754" w:rsidRDefault="00CA709D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15</w:t>
                  </w:r>
                  <w:r w:rsidR="00691754">
                    <w:rPr>
                      <w:rFonts w:ascii="Calibri" w:hAnsi="Calibri"/>
                      <w:bCs/>
                      <w:sz w:val="20"/>
                      <w:szCs w:val="20"/>
                    </w:rPr>
                    <w:t>.11.2024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Ibis </w:t>
                  </w:r>
                  <w:proofErr w:type="spellStart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Styles</w:t>
                  </w:r>
                  <w:proofErr w:type="spellEnd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0C08D635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2916C3">
              <w:rPr>
                <w:rFonts w:ascii="Calibri" w:hAnsi="Calibri"/>
                <w:b/>
                <w:color w:val="A50021"/>
                <w:sz w:val="20"/>
                <w:szCs w:val="20"/>
              </w:rPr>
              <w:t>160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0E176458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916C3">
              <w:rPr>
                <w:rFonts w:ascii="Calibri" w:hAnsi="Calibri"/>
                <w:b/>
                <w:sz w:val="20"/>
                <w:szCs w:val="20"/>
              </w:rPr>
              <w:t>260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5795FC80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577C13" w:rsidRPr="00577C13">
        <w:rPr>
          <w:rFonts w:ascii="Calibri" w:hAnsi="Calibri"/>
          <w:b/>
          <w:bCs/>
          <w:iCs/>
          <w:sz w:val="18"/>
          <w:szCs w:val="18"/>
        </w:rPr>
        <w:t>Oszczędności i optymalizacja kosztów w zakupach</w:t>
      </w:r>
      <w:r w:rsidR="00577C13"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8A0CE9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AEE0" w14:textId="77777777" w:rsidR="00ED2DE2" w:rsidRDefault="00ED2DE2">
      <w:r>
        <w:separator/>
      </w:r>
    </w:p>
  </w:endnote>
  <w:endnote w:type="continuationSeparator" w:id="0">
    <w:p w14:paraId="480670B8" w14:textId="77777777" w:rsidR="00ED2DE2" w:rsidRDefault="00ED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53A4" w14:textId="77777777" w:rsidR="00ED2DE2" w:rsidRDefault="00ED2DE2">
      <w:r>
        <w:separator/>
      </w:r>
    </w:p>
  </w:footnote>
  <w:footnote w:type="continuationSeparator" w:id="0">
    <w:p w14:paraId="122D86E4" w14:textId="77777777" w:rsidR="00ED2DE2" w:rsidRDefault="00ED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356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66835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476E"/>
    <w:multiLevelType w:val="hybridMultilevel"/>
    <w:tmpl w:val="CF64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230D"/>
    <w:multiLevelType w:val="hybridMultilevel"/>
    <w:tmpl w:val="E0B644C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A82"/>
    <w:multiLevelType w:val="hybridMultilevel"/>
    <w:tmpl w:val="E28C9B1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2AE6"/>
    <w:multiLevelType w:val="hybridMultilevel"/>
    <w:tmpl w:val="D4B8579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1EEE"/>
    <w:multiLevelType w:val="hybridMultilevel"/>
    <w:tmpl w:val="8716D8D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836ABE"/>
    <w:multiLevelType w:val="hybridMultilevel"/>
    <w:tmpl w:val="920670D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37B98"/>
    <w:multiLevelType w:val="hybridMultilevel"/>
    <w:tmpl w:val="BED22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16EE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4C99"/>
    <w:rsid w:val="00114D77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16C3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1345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0C7"/>
    <w:rsid w:val="00555BB3"/>
    <w:rsid w:val="005621AB"/>
    <w:rsid w:val="00562336"/>
    <w:rsid w:val="0056537F"/>
    <w:rsid w:val="00565842"/>
    <w:rsid w:val="005703D1"/>
    <w:rsid w:val="00570800"/>
    <w:rsid w:val="00572851"/>
    <w:rsid w:val="00574F6D"/>
    <w:rsid w:val="005755F8"/>
    <w:rsid w:val="0057600D"/>
    <w:rsid w:val="00577C13"/>
    <w:rsid w:val="005910E7"/>
    <w:rsid w:val="00591762"/>
    <w:rsid w:val="00591837"/>
    <w:rsid w:val="0059352A"/>
    <w:rsid w:val="0059417D"/>
    <w:rsid w:val="00597D54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16AF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754"/>
    <w:rsid w:val="0069190E"/>
    <w:rsid w:val="00691C77"/>
    <w:rsid w:val="00692507"/>
    <w:rsid w:val="00693CB1"/>
    <w:rsid w:val="006A187E"/>
    <w:rsid w:val="006A3407"/>
    <w:rsid w:val="006B07F7"/>
    <w:rsid w:val="006B0E37"/>
    <w:rsid w:val="006B27DE"/>
    <w:rsid w:val="006B40F6"/>
    <w:rsid w:val="006C4D7F"/>
    <w:rsid w:val="006C7120"/>
    <w:rsid w:val="006D1D91"/>
    <w:rsid w:val="006D35BB"/>
    <w:rsid w:val="006D51F3"/>
    <w:rsid w:val="006D62BE"/>
    <w:rsid w:val="006D77C1"/>
    <w:rsid w:val="006E02DA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2F55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7E1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589A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80145E"/>
    <w:rsid w:val="00802183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0CE9"/>
    <w:rsid w:val="008A487E"/>
    <w:rsid w:val="008A5FD3"/>
    <w:rsid w:val="008A6035"/>
    <w:rsid w:val="008B2434"/>
    <w:rsid w:val="008B26AD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4222"/>
    <w:rsid w:val="00A74AA1"/>
    <w:rsid w:val="00A76D13"/>
    <w:rsid w:val="00A824EE"/>
    <w:rsid w:val="00A901B0"/>
    <w:rsid w:val="00A902AC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0529"/>
    <w:rsid w:val="00B62601"/>
    <w:rsid w:val="00B62623"/>
    <w:rsid w:val="00B632B2"/>
    <w:rsid w:val="00B677C5"/>
    <w:rsid w:val="00B67A7C"/>
    <w:rsid w:val="00B725E8"/>
    <w:rsid w:val="00B7745B"/>
    <w:rsid w:val="00B83DAC"/>
    <w:rsid w:val="00B841D5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776"/>
    <w:rsid w:val="00BD27A4"/>
    <w:rsid w:val="00BD2DC3"/>
    <w:rsid w:val="00BD3B8B"/>
    <w:rsid w:val="00BD3F4E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45F4C"/>
    <w:rsid w:val="00C506F3"/>
    <w:rsid w:val="00C539E2"/>
    <w:rsid w:val="00C54574"/>
    <w:rsid w:val="00C61EA5"/>
    <w:rsid w:val="00C62289"/>
    <w:rsid w:val="00C63300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A709D"/>
    <w:rsid w:val="00CB1414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4744"/>
    <w:rsid w:val="00D06C82"/>
    <w:rsid w:val="00D13692"/>
    <w:rsid w:val="00D17103"/>
    <w:rsid w:val="00D20C9F"/>
    <w:rsid w:val="00D32FD5"/>
    <w:rsid w:val="00D337D4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0969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46A4C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2DE2"/>
    <w:rsid w:val="00ED5A8B"/>
    <w:rsid w:val="00EE1C57"/>
    <w:rsid w:val="00EE1E0A"/>
    <w:rsid w:val="00EE5437"/>
    <w:rsid w:val="00EF02D0"/>
    <w:rsid w:val="00EF1363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7F3A-DCCB-4FFA-8667-FCC14F7F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2799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13</cp:revision>
  <cp:lastPrinted>2020-05-22T09:34:00Z</cp:lastPrinted>
  <dcterms:created xsi:type="dcterms:W3CDTF">2024-01-28T14:52:00Z</dcterms:created>
  <dcterms:modified xsi:type="dcterms:W3CDTF">2024-05-08T12:26:00Z</dcterms:modified>
</cp:coreProperties>
</file>