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Borders>
          <w:bottom w:val="single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87"/>
      </w:tblGrid>
      <w:tr w:rsidR="00B2049F" w14:paraId="7F45236E" w14:textId="77777777" w:rsidTr="00106873">
        <w:trPr>
          <w:trHeight w:val="484"/>
        </w:trPr>
        <w:tc>
          <w:tcPr>
            <w:tcW w:w="10843" w:type="dxa"/>
            <w:gridSpan w:val="2"/>
            <w:tcBorders>
              <w:bottom w:val="nil"/>
            </w:tcBorders>
            <w:shd w:val="clear" w:color="auto" w:fill="FFC000"/>
          </w:tcPr>
          <w:p w14:paraId="63062EFA" w14:textId="77777777" w:rsidR="00B2049F" w:rsidRPr="00B2049F" w:rsidRDefault="00B2049F" w:rsidP="00A46771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ZAPRASZAMY PAŃSTWA DO</w:t>
            </w:r>
            <w:r w:rsidR="00512206">
              <w:rPr>
                <w:rFonts w:ascii="Calibri" w:hAnsi="Calibri"/>
                <w:b/>
                <w:bCs/>
                <w:sz w:val="18"/>
                <w:szCs w:val="18"/>
              </w:rPr>
              <w:t xml:space="preserve"> UCZESTNICTWA W SZKOLENIU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B2049F" w14:paraId="2577C8A1" w14:textId="77777777" w:rsidTr="00BD35ED">
        <w:trPr>
          <w:trHeight w:val="2332"/>
        </w:trPr>
        <w:tc>
          <w:tcPr>
            <w:tcW w:w="10843" w:type="dxa"/>
            <w:gridSpan w:val="2"/>
            <w:tcBorders>
              <w:top w:val="nil"/>
              <w:bottom w:val="nil"/>
            </w:tcBorders>
            <w:shd w:val="clear" w:color="auto" w:fill="003399"/>
          </w:tcPr>
          <w:p w14:paraId="1A6D2168" w14:textId="77777777" w:rsidR="00B2049F" w:rsidRDefault="00B2049F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4243D8CC" w14:textId="77777777" w:rsidR="00804CA9" w:rsidRPr="00C37A50" w:rsidRDefault="00804CA9" w:rsidP="00BD35ED">
            <w:pPr>
              <w:pStyle w:val="Tekstpodstawowy"/>
              <w:spacing w:before="360"/>
              <w:jc w:val="center"/>
              <w:rPr>
                <w:rFonts w:ascii="Calibri" w:hAnsi="Calibri"/>
                <w:b/>
                <w:bCs/>
                <w:iCs/>
                <w:sz w:val="44"/>
                <w:szCs w:val="44"/>
              </w:rPr>
            </w:pPr>
            <w:r w:rsidRPr="00C37A50">
              <w:rPr>
                <w:rFonts w:ascii="Calibri" w:hAnsi="Calibri"/>
                <w:b/>
                <w:bCs/>
                <w:iCs/>
                <w:sz w:val="44"/>
                <w:szCs w:val="44"/>
              </w:rPr>
              <w:t>IMPO</w:t>
            </w:r>
            <w:r>
              <w:rPr>
                <w:rFonts w:ascii="Calibri" w:hAnsi="Calibri"/>
                <w:b/>
                <w:bCs/>
                <w:iCs/>
                <w:sz w:val="44"/>
                <w:szCs w:val="44"/>
              </w:rPr>
              <w:t>RT I ZAKUPY WEWNĄTRZWSPÓLNOTOWE</w:t>
            </w:r>
          </w:p>
          <w:p w14:paraId="3FE0D4D0" w14:textId="77777777" w:rsidR="00804CA9" w:rsidRPr="00C37A50" w:rsidRDefault="00804CA9" w:rsidP="00804CA9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37A50">
              <w:rPr>
                <w:rFonts w:ascii="Calibri" w:hAnsi="Calibri"/>
                <w:b/>
                <w:bCs/>
                <w:sz w:val="28"/>
                <w:szCs w:val="28"/>
              </w:rPr>
              <w:t>PROFESJONALNE ZABEZPIECZENIE INTERESÓW KUPUJĄCEGO</w:t>
            </w:r>
          </w:p>
          <w:p w14:paraId="7D28E8CC" w14:textId="56DD4F6E" w:rsidR="00B2049F" w:rsidRPr="00804CA9" w:rsidRDefault="00804CA9" w:rsidP="00804CA9">
            <w:pPr>
              <w:spacing w:after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7A50">
              <w:rPr>
                <w:rFonts w:ascii="Calibri" w:hAnsi="Calibri"/>
                <w:b/>
                <w:bCs/>
                <w:sz w:val="28"/>
                <w:szCs w:val="28"/>
              </w:rPr>
              <w:t>W AKTUALNYCH UWARUNKO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WANIACH PRAWNYCH I ZWYCZAJOWYCH</w:t>
            </w:r>
          </w:p>
        </w:tc>
      </w:tr>
      <w:tr w:rsidR="00213FCF" w14:paraId="29F8923A" w14:textId="77777777" w:rsidTr="00D41769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62"/>
        </w:trPr>
        <w:tc>
          <w:tcPr>
            <w:tcW w:w="5456" w:type="dxa"/>
            <w:tcBorders>
              <w:right w:val="single" w:sz="4" w:space="0" w:color="003399"/>
            </w:tcBorders>
            <w:shd w:val="clear" w:color="auto" w:fill="3366FF"/>
            <w:vAlign w:val="center"/>
          </w:tcPr>
          <w:p w14:paraId="06A789A8" w14:textId="50B7B63D" w:rsidR="00213FCF" w:rsidRPr="007362F9" w:rsidRDefault="00213FCF" w:rsidP="00213FCF">
            <w:pPr>
              <w:ind w:right="23"/>
              <w:jc w:val="center"/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387" w:type="dxa"/>
            <w:tcBorders>
              <w:left w:val="single" w:sz="4" w:space="0" w:color="003399"/>
            </w:tcBorders>
            <w:shd w:val="clear" w:color="auto" w:fill="3366FF"/>
            <w:vAlign w:val="center"/>
          </w:tcPr>
          <w:p w14:paraId="0CB229C1" w14:textId="32D72ECF" w:rsidR="00213FCF" w:rsidRPr="007362F9" w:rsidRDefault="00213FCF" w:rsidP="00213FC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</w:p>
        </w:tc>
      </w:tr>
      <w:tr w:rsidR="00213FCF" w14:paraId="5596A6E0" w14:textId="77777777" w:rsidTr="006C45F4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1420"/>
        </w:trPr>
        <w:tc>
          <w:tcPr>
            <w:tcW w:w="5456" w:type="dxa"/>
            <w:tcBorders>
              <w:bottom w:val="single" w:sz="18" w:space="0" w:color="000099"/>
              <w:right w:val="single" w:sz="4" w:space="0" w:color="000099"/>
            </w:tcBorders>
            <w:shd w:val="clear" w:color="auto" w:fill="F2F2F2" w:themeFill="background1" w:themeFillShade="F2"/>
            <w:vAlign w:val="center"/>
          </w:tcPr>
          <w:p w14:paraId="786054FD" w14:textId="412D2840" w:rsidR="00213FCF" w:rsidRPr="002E6F2E" w:rsidRDefault="000D7DE5" w:rsidP="00213FCF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04</w:t>
            </w:r>
            <w:r w:rsidR="00213FC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213FCF">
              <w:rPr>
                <w:rFonts w:asciiTheme="minorHAnsi" w:hAnsiTheme="minorHAnsi"/>
              </w:rPr>
              <w:t>.2022</w:t>
            </w:r>
          </w:p>
        </w:tc>
        <w:tc>
          <w:tcPr>
            <w:tcW w:w="5387" w:type="dxa"/>
            <w:tcBorders>
              <w:left w:val="single" w:sz="4" w:space="0" w:color="000099"/>
              <w:bottom w:val="single" w:sz="18" w:space="0" w:color="000099"/>
            </w:tcBorders>
            <w:shd w:val="clear" w:color="auto" w:fill="F2F2F2" w:themeFill="background1" w:themeFillShade="F2"/>
            <w:vAlign w:val="center"/>
          </w:tcPr>
          <w:p w14:paraId="092FB85B" w14:textId="77777777" w:rsidR="000D7DE5" w:rsidRPr="000D7DE5" w:rsidRDefault="000D7DE5" w:rsidP="00213FC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D7DE5">
              <w:rPr>
                <w:rFonts w:asciiTheme="minorHAnsi" w:hAnsiTheme="minorHAnsi"/>
                <w:b/>
                <w:bCs/>
              </w:rPr>
              <w:t xml:space="preserve">Warszawa: </w:t>
            </w:r>
          </w:p>
          <w:p w14:paraId="22A957B6" w14:textId="74E82711" w:rsidR="00213FCF" w:rsidRPr="001333CB" w:rsidRDefault="00213FCF" w:rsidP="00213F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7DE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  <w:r w:rsidR="000D7DE5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.2022</w:t>
            </w:r>
          </w:p>
        </w:tc>
      </w:tr>
    </w:tbl>
    <w:p w14:paraId="59DB14E2" w14:textId="77777777" w:rsidR="0083036B" w:rsidRDefault="0083036B" w:rsidP="0083036B">
      <w:pPr>
        <w:shd w:val="clear" w:color="auto" w:fill="FFFFFF" w:themeFill="background1"/>
        <w:ind w:left="142" w:right="-1" w:hanging="142"/>
        <w:rPr>
          <w:rFonts w:ascii="Calibri" w:hAnsi="Calibri"/>
          <w:b/>
          <w:iCs/>
          <w:sz w:val="20"/>
          <w:szCs w:val="20"/>
        </w:rPr>
      </w:pPr>
    </w:p>
    <w:p w14:paraId="400E8EFE" w14:textId="11252A79" w:rsidR="00C66560" w:rsidRPr="00BD35ED" w:rsidRDefault="00C66560" w:rsidP="006F4340">
      <w:pPr>
        <w:shd w:val="clear" w:color="auto" w:fill="FFFFFF" w:themeFill="background1"/>
        <w:spacing w:before="120"/>
        <w:ind w:left="142" w:right="-1" w:hanging="142"/>
        <w:rPr>
          <w:rFonts w:ascii="Calibri" w:hAnsi="Calibri"/>
          <w:b/>
          <w:iCs/>
          <w:color w:val="003399"/>
          <w:sz w:val="20"/>
          <w:szCs w:val="20"/>
        </w:rPr>
      </w:pPr>
      <w:r w:rsidRPr="00BD35ED">
        <w:rPr>
          <w:rFonts w:ascii="Calibri" w:hAnsi="Calibri"/>
          <w:b/>
          <w:iCs/>
          <w:color w:val="003399"/>
          <w:sz w:val="20"/>
          <w:szCs w:val="20"/>
        </w:rPr>
        <w:t>Dlaczego ten temat zasługuje na szczególną uwagę:</w:t>
      </w:r>
    </w:p>
    <w:p w14:paraId="38622306" w14:textId="77777777" w:rsidR="00E74230" w:rsidRPr="00BD35ED" w:rsidRDefault="00E74230" w:rsidP="00E74230">
      <w:pPr>
        <w:spacing w:before="120"/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BD35ED">
        <w:rPr>
          <w:rFonts w:ascii="Calibri" w:hAnsi="Calibri"/>
          <w:b/>
          <w:iCs/>
          <w:sz w:val="20"/>
          <w:szCs w:val="20"/>
        </w:rPr>
        <w:t>Wiele przedsiębiorstw z powodzeniem działa na rynku globalnym, dokonując zakupów za granicą, zarówno na rynku Unii Europejskiej, jak i z krajów spoza UE . Umowy zawierane z partnerem zagranicznym są szczególnie ważnym rodzajem umów, ze względu na różnorodność rozwiązań prawnych, zwyczajowych oraz uwarunkowania kulturowe. Należy pamiętać, że konwencje międzynarodowe mają pierwszeństwo przed ustawami, regulującymi te kwestie.</w:t>
      </w:r>
    </w:p>
    <w:p w14:paraId="27E67A18" w14:textId="54A98811" w:rsidR="00E74230" w:rsidRPr="00BD35ED" w:rsidRDefault="00E74230" w:rsidP="00E74230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BD35ED">
        <w:rPr>
          <w:rFonts w:ascii="Calibri" w:hAnsi="Calibri"/>
          <w:iCs/>
          <w:sz w:val="20"/>
          <w:szCs w:val="20"/>
        </w:rPr>
        <w:t xml:space="preserve">Polska, wstępując do UE uznała ponadto pierwszeństwo prawa UE nad rozwiązaniami krajowymi. Na handlowca spadł więc obowiązek poruszania się w bardzo skomplikowanym, ulegającym ciągłym zmianom systemie.  Brak szerokiej wiedzy na ten temat powoduje liczne błędy na etapie negocjowania i realizacji takich umów, w tym generowanie </w:t>
      </w:r>
      <w:r w:rsidR="00215790">
        <w:rPr>
          <w:rFonts w:ascii="Calibri" w:hAnsi="Calibri"/>
          <w:iCs/>
          <w:sz w:val="20"/>
          <w:szCs w:val="20"/>
        </w:rPr>
        <w:t xml:space="preserve">niepotrzebnych </w:t>
      </w:r>
      <w:proofErr w:type="spellStart"/>
      <w:r w:rsidR="00215790">
        <w:rPr>
          <w:rFonts w:ascii="Calibri" w:hAnsi="Calibri"/>
          <w:iCs/>
          <w:sz w:val="20"/>
          <w:szCs w:val="20"/>
        </w:rPr>
        <w:t>ryzyk</w:t>
      </w:r>
      <w:proofErr w:type="spellEnd"/>
      <w:r w:rsidR="00215790">
        <w:rPr>
          <w:rFonts w:ascii="Calibri" w:hAnsi="Calibri"/>
          <w:iCs/>
          <w:sz w:val="20"/>
          <w:szCs w:val="20"/>
        </w:rPr>
        <w:t xml:space="preserve"> i kosztów.</w:t>
      </w:r>
    </w:p>
    <w:p w14:paraId="4FE6A72F" w14:textId="77777777" w:rsidR="00E74230" w:rsidRPr="00BD35ED" w:rsidRDefault="00E74230" w:rsidP="00E74230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BD35ED">
        <w:rPr>
          <w:rFonts w:ascii="Calibri" w:hAnsi="Calibri"/>
          <w:iCs/>
          <w:sz w:val="20"/>
          <w:szCs w:val="20"/>
        </w:rPr>
        <w:t>Nie można tu polegać na doświadczeniu, bo zmieniają się nie tylko uwarunkowania prawne (poufność, prawa autorskie), procedury (transport multimodalny, nowe dokumenty, formy rozliczeń, itp.), ale także zwyczaje w tym zakresie (</w:t>
      </w:r>
      <w:proofErr w:type="spellStart"/>
      <w:r w:rsidRPr="00BD35ED">
        <w:rPr>
          <w:rFonts w:ascii="Calibri" w:hAnsi="Calibri"/>
          <w:iCs/>
          <w:sz w:val="20"/>
          <w:szCs w:val="20"/>
        </w:rPr>
        <w:t>Incoterms</w:t>
      </w:r>
      <w:proofErr w:type="spellEnd"/>
      <w:r w:rsidRPr="00BD35ED">
        <w:rPr>
          <w:rFonts w:ascii="Calibri" w:hAnsi="Calibri"/>
          <w:iCs/>
          <w:sz w:val="20"/>
          <w:szCs w:val="20"/>
        </w:rPr>
        <w:t xml:space="preserve">, UCP, URDG, itp.). </w:t>
      </w:r>
    </w:p>
    <w:p w14:paraId="5EA8A651" w14:textId="77777777" w:rsidR="00E74230" w:rsidRPr="00BD35ED" w:rsidRDefault="00E74230" w:rsidP="00E74230">
      <w:pPr>
        <w:spacing w:before="120" w:after="240"/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BD35ED">
        <w:rPr>
          <w:rFonts w:ascii="Calibri" w:hAnsi="Calibri"/>
          <w:b/>
          <w:iCs/>
          <w:sz w:val="20"/>
          <w:szCs w:val="20"/>
        </w:rPr>
        <w:t>Naszym celem jest pokazanie, jak dokonać właściwych zabezpieczeń w umowach, które pozwolą uniknąć niepotrzebnych kosztów dla obu partnerów, w sytuacji powstania sporu. Oszczędności bieżące i ograniczenie kosztownej odpowiedzialności w przyszłości są argumentami, za traktowaniem naszego szkolenia jako niezbędnej inwestycji.</w:t>
      </w:r>
    </w:p>
    <w:p w14:paraId="0453CF75" w14:textId="3CBCCE57" w:rsidR="00C66560" w:rsidRPr="00BD35ED" w:rsidRDefault="00C66560" w:rsidP="00BD35ED">
      <w:pPr>
        <w:spacing w:before="120" w:after="120"/>
        <w:jc w:val="both"/>
        <w:rPr>
          <w:rFonts w:ascii="Calibri" w:hAnsi="Calibri"/>
          <w:b/>
          <w:iCs/>
          <w:color w:val="003399"/>
          <w:sz w:val="20"/>
          <w:szCs w:val="20"/>
        </w:rPr>
      </w:pPr>
      <w:r w:rsidRPr="00BD35ED">
        <w:rPr>
          <w:rFonts w:ascii="Calibri" w:hAnsi="Calibri"/>
          <w:b/>
          <w:iCs/>
          <w:color w:val="003399"/>
          <w:sz w:val="20"/>
          <w:szCs w:val="20"/>
        </w:rPr>
        <w:t xml:space="preserve">Do kogo kierujemy nasze szkolenie: </w:t>
      </w:r>
    </w:p>
    <w:p w14:paraId="213DC5D0" w14:textId="77777777" w:rsidR="00E74230" w:rsidRPr="00BD35ED" w:rsidRDefault="00E74230" w:rsidP="00E74230">
      <w:pPr>
        <w:spacing w:after="36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>Kadry menedżerskiej, pracowników działów: importu i zakupów oraz wszystkich osób odpowiedzialnych za negocjowanie, zawieranie i rozliczanie umów z partnerami zagranicznymi.</w:t>
      </w:r>
    </w:p>
    <w:p w14:paraId="282329C6" w14:textId="30C885ED" w:rsidR="00C66560" w:rsidRPr="00BD35ED" w:rsidRDefault="00E62B76" w:rsidP="00D2149E">
      <w:pPr>
        <w:shd w:val="clear" w:color="auto" w:fill="003399"/>
        <w:spacing w:before="120"/>
        <w:ind w:left="142" w:hanging="142"/>
        <w:rPr>
          <w:rFonts w:ascii="Calibri" w:hAnsi="Calibri"/>
          <w:b/>
          <w:iCs/>
          <w:color w:val="FFFFFF"/>
          <w:sz w:val="20"/>
          <w:szCs w:val="20"/>
        </w:rPr>
      </w:pPr>
      <w:r w:rsidRPr="00BD35ED">
        <w:rPr>
          <w:rFonts w:ascii="Calibri" w:hAnsi="Calibri"/>
          <w:b/>
          <w:iCs/>
          <w:color w:val="FFFFFF"/>
          <w:sz w:val="20"/>
          <w:szCs w:val="20"/>
        </w:rPr>
        <w:t>Cel szkolenia</w:t>
      </w:r>
      <w:r w:rsidR="005C48F7" w:rsidRPr="00BD35ED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</w:t>
      </w:r>
    </w:p>
    <w:p w14:paraId="3D4819FC" w14:textId="77777777" w:rsidR="00D2149E" w:rsidRPr="00BD35ED" w:rsidRDefault="00D2149E" w:rsidP="00D2149E">
      <w:pPr>
        <w:ind w:left="36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</w:p>
    <w:p w14:paraId="0BF2E5D0" w14:textId="77777777" w:rsidR="00E74230" w:rsidRPr="00BD35ED" w:rsidRDefault="00E74230" w:rsidP="00D07AF2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 xml:space="preserve">poznają </w:t>
      </w:r>
      <w:r w:rsidRPr="00BD35ED">
        <w:rPr>
          <w:rFonts w:ascii="Calibri" w:hAnsi="Calibri"/>
          <w:sz w:val="20"/>
          <w:szCs w:val="20"/>
        </w:rPr>
        <w:t xml:space="preserve">zasady prowadzenia handlu zagranicznego w zakresie importu, poznają </w:t>
      </w:r>
      <w:r w:rsidRPr="00BD35ED">
        <w:rPr>
          <w:rFonts w:ascii="Calibri" w:hAnsi="Calibri"/>
          <w:bCs/>
          <w:iCs/>
          <w:sz w:val="20"/>
          <w:szCs w:val="20"/>
        </w:rPr>
        <w:t>nowe uregulowania prawno-zwyczajowe, które mogą być wykorzystane do zabezpieczenia interesów firm słuchaczy w zawieranych umowach,</w:t>
      </w:r>
    </w:p>
    <w:p w14:paraId="00670ADF" w14:textId="77777777" w:rsidR="00E74230" w:rsidRPr="00BD35ED" w:rsidRDefault="00E74230" w:rsidP="00D07AF2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 xml:space="preserve">uzyskają praktyczne </w:t>
      </w:r>
      <w:r w:rsidRPr="00BD35ED">
        <w:rPr>
          <w:rFonts w:ascii="Calibri" w:hAnsi="Calibri"/>
          <w:sz w:val="20"/>
          <w:szCs w:val="20"/>
        </w:rPr>
        <w:t>porady dotyczące zawierania różnego rodzaju umów na różnych rynkach,</w:t>
      </w:r>
    </w:p>
    <w:p w14:paraId="0C18CA3B" w14:textId="77777777" w:rsidR="00E74230" w:rsidRPr="00BD35ED" w:rsidRDefault="00E74230" w:rsidP="00D07AF2">
      <w:pPr>
        <w:pStyle w:val="Akapitzlist"/>
        <w:numPr>
          <w:ilvl w:val="0"/>
          <w:numId w:val="8"/>
        </w:numPr>
        <w:spacing w:before="120"/>
        <w:ind w:right="23"/>
        <w:contextualSpacing w:val="0"/>
        <w:jc w:val="both"/>
        <w:rPr>
          <w:rFonts w:ascii="Calibri" w:hAnsi="Calibri"/>
          <w:bCs/>
          <w:iCs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>nabędą praktyczne wskazówki, jak negocjować umowy zakupu z partnerem zagranicznym, posługując się argumentami, które pojawiły się w nowych uregulowaniach,</w:t>
      </w:r>
    </w:p>
    <w:p w14:paraId="2E12FC46" w14:textId="51FF0958" w:rsidR="00E74230" w:rsidRDefault="00E74230" w:rsidP="00D07AF2">
      <w:pPr>
        <w:pStyle w:val="Akapitzlist"/>
        <w:numPr>
          <w:ilvl w:val="0"/>
          <w:numId w:val="8"/>
        </w:numPr>
        <w:spacing w:before="120" w:after="240"/>
        <w:ind w:right="23"/>
        <w:contextualSpacing w:val="0"/>
        <w:jc w:val="both"/>
        <w:rPr>
          <w:rFonts w:ascii="Calibri" w:hAnsi="Calibri"/>
          <w:bCs/>
          <w:iCs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>uzupełnią i uporządkują podstawową wiedzę o imporcie, dokumentach, sposobach rozliczeń, bazach dostawy, źródłach poszukiwania i weryfikacji partnera.</w:t>
      </w:r>
    </w:p>
    <w:p w14:paraId="40164C43" w14:textId="32787145" w:rsidR="00BD35ED" w:rsidRDefault="00BD35ED" w:rsidP="00BD35ED">
      <w:pPr>
        <w:pStyle w:val="Akapitzlist"/>
        <w:spacing w:before="120" w:after="240"/>
        <w:ind w:left="794" w:right="23"/>
        <w:contextualSpacing w:val="0"/>
        <w:jc w:val="both"/>
        <w:rPr>
          <w:rFonts w:ascii="Calibri" w:hAnsi="Calibri"/>
          <w:bCs/>
          <w:iCs/>
          <w:sz w:val="20"/>
          <w:szCs w:val="20"/>
        </w:rPr>
      </w:pPr>
    </w:p>
    <w:p w14:paraId="519E301E" w14:textId="3CA8D6C0" w:rsidR="00BD35ED" w:rsidRDefault="00BD35ED" w:rsidP="00BD35ED">
      <w:pPr>
        <w:pStyle w:val="Akapitzlist"/>
        <w:spacing w:before="120" w:after="240"/>
        <w:ind w:left="794" w:right="23"/>
        <w:contextualSpacing w:val="0"/>
        <w:jc w:val="both"/>
        <w:rPr>
          <w:rFonts w:ascii="Calibri" w:hAnsi="Calibri"/>
          <w:bCs/>
          <w:iCs/>
          <w:sz w:val="20"/>
          <w:szCs w:val="20"/>
        </w:rPr>
      </w:pPr>
    </w:p>
    <w:p w14:paraId="59495B43" w14:textId="4886BB6B" w:rsidR="00C66560" w:rsidRPr="0035057E" w:rsidRDefault="00C66560" w:rsidP="0035057E">
      <w:pPr>
        <w:shd w:val="clear" w:color="auto" w:fill="003399"/>
        <w:spacing w:before="12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35057E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5E8BAA39" w14:textId="5ED362E1" w:rsidR="00BD35ED" w:rsidRPr="0053753F" w:rsidRDefault="00BD35ED" w:rsidP="00D07AF2">
      <w:pPr>
        <w:pStyle w:val="Akapitzlist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3753F">
        <w:rPr>
          <w:rFonts w:ascii="Calibri" w:hAnsi="Calibri"/>
          <w:b/>
          <w:bCs/>
          <w:iCs/>
          <w:color w:val="003399"/>
          <w:sz w:val="20"/>
          <w:szCs w:val="20"/>
        </w:rPr>
        <w:t>NIEZBĘDNA WIEDZA PRAWNO-ORGANIZACYJNA DOTYCZACA IMPORTU.</w:t>
      </w:r>
    </w:p>
    <w:p w14:paraId="2F0E360F" w14:textId="77777777" w:rsidR="00BD35ED" w:rsidRPr="00BD35ED" w:rsidRDefault="00BD35ED" w:rsidP="00D07AF2">
      <w:pPr>
        <w:pStyle w:val="Akapitzlist"/>
        <w:numPr>
          <w:ilvl w:val="0"/>
          <w:numId w:val="9"/>
        </w:numPr>
        <w:ind w:left="714" w:hanging="357"/>
        <w:rPr>
          <w:rFonts w:ascii="Calibri" w:hAnsi="Calibri"/>
          <w:iCs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 xml:space="preserve">Jakie </w:t>
      </w:r>
      <w:r w:rsidRPr="00BD35ED">
        <w:rPr>
          <w:rFonts w:ascii="Calibri" w:hAnsi="Calibri"/>
          <w:bCs/>
          <w:sz w:val="20"/>
          <w:szCs w:val="20"/>
        </w:rPr>
        <w:t xml:space="preserve">należy uwzględnić </w:t>
      </w:r>
      <w:r w:rsidRPr="00BD35ED">
        <w:rPr>
          <w:rFonts w:ascii="Calibri" w:hAnsi="Calibri"/>
          <w:sz w:val="20"/>
          <w:szCs w:val="20"/>
        </w:rPr>
        <w:t>uwarunkowania prawno-zwyczajowe umów zakupu od partnera zagranicznego?</w:t>
      </w:r>
    </w:p>
    <w:p w14:paraId="4F3C9FC3" w14:textId="77777777" w:rsidR="00BD35ED" w:rsidRPr="00BD35ED" w:rsidRDefault="00BD35ED" w:rsidP="00D07AF2">
      <w:pPr>
        <w:pStyle w:val="Akapitzlist"/>
        <w:numPr>
          <w:ilvl w:val="0"/>
          <w:numId w:val="9"/>
        </w:numPr>
        <w:ind w:left="714" w:hanging="357"/>
        <w:rPr>
          <w:rFonts w:ascii="Calibri" w:hAnsi="Calibri"/>
          <w:iCs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>Jak</w:t>
      </w:r>
      <w:r w:rsidRPr="00BD35ED">
        <w:rPr>
          <w:rFonts w:ascii="Calibri" w:hAnsi="Calibri"/>
          <w:sz w:val="20"/>
          <w:szCs w:val="20"/>
        </w:rPr>
        <w:t xml:space="preserve"> wybrać prawo właściwego w umowie według nowego Rozporządzenia PE?</w:t>
      </w:r>
    </w:p>
    <w:p w14:paraId="63C9CC29" w14:textId="77777777" w:rsidR="00BD35ED" w:rsidRPr="00BD35ED" w:rsidRDefault="00BD35ED" w:rsidP="00D07AF2">
      <w:pPr>
        <w:pStyle w:val="Akapitzlist"/>
        <w:numPr>
          <w:ilvl w:val="0"/>
          <w:numId w:val="9"/>
        </w:numPr>
        <w:ind w:left="714" w:hanging="357"/>
        <w:rPr>
          <w:rFonts w:ascii="Calibri" w:hAnsi="Calibri"/>
          <w:iCs/>
          <w:sz w:val="20"/>
          <w:szCs w:val="20"/>
        </w:rPr>
      </w:pPr>
      <w:r w:rsidRPr="00BD35ED">
        <w:rPr>
          <w:rFonts w:ascii="Calibri" w:hAnsi="Calibri"/>
          <w:sz w:val="20"/>
          <w:szCs w:val="20"/>
        </w:rPr>
        <w:t>Gdzie szukać informacji o nowym rynku zagranicznym – kontrahentach, cenach, procedurach importowych?</w:t>
      </w:r>
    </w:p>
    <w:p w14:paraId="4FAA364E" w14:textId="77777777" w:rsidR="00BD35ED" w:rsidRPr="00BD35ED" w:rsidRDefault="00BD35ED" w:rsidP="00D07AF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rPr>
          <w:rFonts w:ascii="Calibri" w:hAnsi="Calibri"/>
          <w:iCs/>
          <w:sz w:val="20"/>
          <w:szCs w:val="20"/>
        </w:rPr>
      </w:pPr>
      <w:r w:rsidRPr="00BD35ED">
        <w:rPr>
          <w:rFonts w:ascii="Calibri" w:hAnsi="Calibri"/>
          <w:sz w:val="20"/>
          <w:szCs w:val="20"/>
        </w:rPr>
        <w:t>Jak posłużyć się Konwencją CISG w zakupach?</w:t>
      </w:r>
    </w:p>
    <w:p w14:paraId="4FF24060" w14:textId="6E85322C" w:rsidR="00BD35ED" w:rsidRPr="0053753F" w:rsidRDefault="00BD35ED" w:rsidP="00D07AF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Calibri" w:hAnsi="Calibri"/>
          <w:b/>
          <w:color w:val="003399"/>
          <w:sz w:val="20"/>
          <w:szCs w:val="20"/>
        </w:rPr>
      </w:pPr>
      <w:r w:rsidRPr="0053753F">
        <w:rPr>
          <w:rFonts w:ascii="Calibri" w:hAnsi="Calibri"/>
          <w:b/>
          <w:color w:val="003399"/>
          <w:sz w:val="20"/>
          <w:szCs w:val="20"/>
        </w:rPr>
        <w:t>PROCEDURY ETAPU OFERTOWEGO W IMPORCIE.</w:t>
      </w:r>
    </w:p>
    <w:p w14:paraId="1B9C8E40" w14:textId="77777777" w:rsidR="00BD35ED" w:rsidRPr="00BD35ED" w:rsidRDefault="00BD35ED" w:rsidP="00D07AF2">
      <w:pPr>
        <w:pStyle w:val="Akapitzlist"/>
        <w:numPr>
          <w:ilvl w:val="0"/>
          <w:numId w:val="10"/>
        </w:numPr>
        <w:ind w:right="23"/>
        <w:jc w:val="both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sz w:val="20"/>
          <w:szCs w:val="20"/>
        </w:rPr>
        <w:t>Kiedy umowa została zawarta w formie oferty z partnerami z UE i spoza UE?</w:t>
      </w:r>
    </w:p>
    <w:p w14:paraId="6009EBE3" w14:textId="77777777" w:rsidR="00BD35ED" w:rsidRPr="00BD35ED" w:rsidRDefault="00BD35ED" w:rsidP="00D07AF2">
      <w:pPr>
        <w:pStyle w:val="Akapitzlist"/>
        <w:numPr>
          <w:ilvl w:val="0"/>
          <w:numId w:val="10"/>
        </w:numPr>
        <w:ind w:right="23"/>
        <w:jc w:val="both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sz w:val="20"/>
          <w:szCs w:val="20"/>
        </w:rPr>
        <w:t>Zasady posługiwania się zapytaniem ofertowym oraz organizowania przetargów w imporcie?</w:t>
      </w:r>
    </w:p>
    <w:p w14:paraId="77AB5DF8" w14:textId="77777777" w:rsidR="00BD35ED" w:rsidRPr="00BD35ED" w:rsidRDefault="00BD35ED" w:rsidP="00D07AF2">
      <w:pPr>
        <w:pStyle w:val="Akapitzlist"/>
        <w:numPr>
          <w:ilvl w:val="0"/>
          <w:numId w:val="10"/>
        </w:numPr>
        <w:ind w:right="23"/>
        <w:jc w:val="both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sz w:val="20"/>
          <w:szCs w:val="20"/>
        </w:rPr>
        <w:t>Jak sporządzić zamówienie i przeforsować swoje OWZ, uwzględniając specyfikę różnych rynków?</w:t>
      </w:r>
    </w:p>
    <w:p w14:paraId="0440F2A0" w14:textId="77777777" w:rsidR="00BD35ED" w:rsidRPr="00BD35ED" w:rsidRDefault="00BD35ED" w:rsidP="00D07AF2">
      <w:pPr>
        <w:pStyle w:val="Akapitzlist"/>
        <w:numPr>
          <w:ilvl w:val="0"/>
          <w:numId w:val="10"/>
        </w:numPr>
        <w:spacing w:after="120"/>
        <w:ind w:right="23"/>
        <w:contextualSpacing w:val="0"/>
        <w:jc w:val="both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sz w:val="20"/>
          <w:szCs w:val="20"/>
        </w:rPr>
        <w:t>Kto może zawrzeć umowę ze strony partnera zagranicznego i jak to sprawdzić?</w:t>
      </w:r>
    </w:p>
    <w:p w14:paraId="4AA89D98" w14:textId="06E2A172" w:rsidR="00BD35ED" w:rsidRPr="0053753F" w:rsidRDefault="00BD35ED" w:rsidP="00D07AF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Calibri" w:hAnsi="Calibri"/>
          <w:b/>
          <w:color w:val="003399"/>
          <w:sz w:val="20"/>
          <w:szCs w:val="20"/>
        </w:rPr>
      </w:pPr>
      <w:r w:rsidRPr="0053753F">
        <w:rPr>
          <w:rFonts w:ascii="Calibri" w:hAnsi="Calibri"/>
          <w:b/>
          <w:color w:val="003399"/>
          <w:sz w:val="20"/>
          <w:szCs w:val="20"/>
        </w:rPr>
        <w:t>WYBÓR OGÓLNEJ KONCEPCJI KONTRAKTU (BAZY DOSTAWY I PŁATNOŚCI) PRZEZ IMPORTERA.</w:t>
      </w:r>
    </w:p>
    <w:p w14:paraId="41B2B645" w14:textId="77777777" w:rsidR="00BD35ED" w:rsidRPr="0053753F" w:rsidRDefault="00BD35ED" w:rsidP="00D07AF2">
      <w:pPr>
        <w:pStyle w:val="Akapitzlist"/>
        <w:numPr>
          <w:ilvl w:val="0"/>
          <w:numId w:val="11"/>
        </w:numPr>
        <w:ind w:right="23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Jak dobrać bazę dostawy w imporcie wg. nowych INCOTERMS 2020, zabezpieczając interesy kupującego?</w:t>
      </w:r>
    </w:p>
    <w:p w14:paraId="00075E0C" w14:textId="77777777" w:rsidR="00BD35ED" w:rsidRPr="0053753F" w:rsidRDefault="00BD35ED" w:rsidP="00D07AF2">
      <w:pPr>
        <w:pStyle w:val="Akapitzlist"/>
        <w:numPr>
          <w:ilvl w:val="0"/>
          <w:numId w:val="11"/>
        </w:numPr>
        <w:ind w:right="23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 xml:space="preserve">Jaka powinna być baza dostawy przy zakupach morskich i dostawach na składy celne? </w:t>
      </w:r>
    </w:p>
    <w:p w14:paraId="35AF91D5" w14:textId="77777777" w:rsidR="00BD35ED" w:rsidRPr="0053753F" w:rsidRDefault="00BD35ED" w:rsidP="00D07AF2">
      <w:pPr>
        <w:pStyle w:val="Akapitzlist"/>
        <w:numPr>
          <w:ilvl w:val="0"/>
          <w:numId w:val="11"/>
        </w:numPr>
        <w:ind w:right="23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Jakie są uregulowania dotyczące maksymalnego terminu odroczenia płatności w imporcie z UE?</w:t>
      </w:r>
    </w:p>
    <w:p w14:paraId="2B7A56F2" w14:textId="77777777" w:rsidR="00BD35ED" w:rsidRPr="0053753F" w:rsidRDefault="00BD35ED" w:rsidP="00D07AF2">
      <w:pPr>
        <w:pStyle w:val="Akapitzlist"/>
        <w:numPr>
          <w:ilvl w:val="0"/>
          <w:numId w:val="11"/>
        </w:numPr>
        <w:spacing w:after="120"/>
        <w:ind w:right="23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Jak powinien negocjować importer, gdy eksporter żąda różnych form zabezpieczenia płatności, w tym gwarancji czy akredytywy?</w:t>
      </w:r>
    </w:p>
    <w:p w14:paraId="0F665CBB" w14:textId="3F5855C6" w:rsidR="00BD35ED" w:rsidRPr="0053753F" w:rsidRDefault="00BD35ED" w:rsidP="00D07AF2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Calibri" w:hAnsi="Calibri"/>
          <w:b/>
          <w:color w:val="003399"/>
          <w:sz w:val="20"/>
          <w:szCs w:val="20"/>
        </w:rPr>
      </w:pPr>
      <w:r w:rsidRPr="0053753F">
        <w:rPr>
          <w:rFonts w:ascii="Calibri" w:hAnsi="Calibri"/>
          <w:b/>
          <w:color w:val="003399"/>
          <w:sz w:val="20"/>
          <w:szCs w:val="20"/>
        </w:rPr>
        <w:t>ZABEZPIECZANIE INTERESÓW IMPORTERA W KLAUZULACH KONTRAKTOWYCH.</w:t>
      </w:r>
    </w:p>
    <w:p w14:paraId="65002B1A" w14:textId="77777777" w:rsidR="00BD35ED" w:rsidRPr="0053753F" w:rsidRDefault="00BD35ED" w:rsidP="00D07AF2">
      <w:pPr>
        <w:pStyle w:val="Akapitzlist"/>
        <w:numPr>
          <w:ilvl w:val="0"/>
          <w:numId w:val="12"/>
        </w:numPr>
        <w:ind w:left="714" w:right="23" w:hanging="357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 xml:space="preserve">Jak negocjować ze strony importera kary umowne i procedury dochodzenia reklamacji? </w:t>
      </w:r>
    </w:p>
    <w:p w14:paraId="528274FD" w14:textId="77777777" w:rsidR="00BD35ED" w:rsidRPr="0053753F" w:rsidRDefault="00BD35ED" w:rsidP="00D07AF2">
      <w:pPr>
        <w:pStyle w:val="Akapitzlist"/>
        <w:numPr>
          <w:ilvl w:val="0"/>
          <w:numId w:val="12"/>
        </w:numPr>
        <w:ind w:left="714" w:right="23" w:hanging="357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Jak zabezpieczyć dochodzenie roszczeń z tytułu jakości na różnych rynkach?</w:t>
      </w:r>
    </w:p>
    <w:p w14:paraId="71CEE101" w14:textId="77777777" w:rsidR="00BD35ED" w:rsidRPr="0053753F" w:rsidRDefault="00BD35ED" w:rsidP="00D07AF2">
      <w:pPr>
        <w:pStyle w:val="Akapitzlist"/>
        <w:numPr>
          <w:ilvl w:val="0"/>
          <w:numId w:val="12"/>
        </w:numPr>
        <w:ind w:left="714" w:right="23" w:hanging="357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Kiedy wykorzystać odpowiedzialność umowną, a kiedy odpowiedzialność z mocy prawa?</w:t>
      </w:r>
    </w:p>
    <w:p w14:paraId="289ACE10" w14:textId="77777777" w:rsidR="00BD35ED" w:rsidRPr="0053753F" w:rsidRDefault="00BD35ED" w:rsidP="00D07AF2">
      <w:pPr>
        <w:pStyle w:val="Akapitzlist"/>
        <w:numPr>
          <w:ilvl w:val="0"/>
          <w:numId w:val="12"/>
        </w:numPr>
        <w:ind w:left="714" w:right="23" w:hanging="357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Dlaczego na niektórych rynkach lepiej wybrać arbitraż niż  sąd powszechny?</w:t>
      </w:r>
    </w:p>
    <w:p w14:paraId="55E00877" w14:textId="77777777" w:rsidR="00BD35ED" w:rsidRPr="0053753F" w:rsidRDefault="00BD35ED" w:rsidP="00D07AF2">
      <w:pPr>
        <w:pStyle w:val="Akapitzlist"/>
        <w:numPr>
          <w:ilvl w:val="0"/>
          <w:numId w:val="12"/>
        </w:numPr>
        <w:ind w:left="714" w:right="23" w:hanging="357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Jak i w których obszarach można zwolnić się od odpowiedzialności kontraktowej będąc importerem?</w:t>
      </w:r>
    </w:p>
    <w:p w14:paraId="0EB1901B" w14:textId="77777777" w:rsidR="00BD35ED" w:rsidRPr="0053753F" w:rsidRDefault="00BD35ED" w:rsidP="00D07AF2">
      <w:pPr>
        <w:pStyle w:val="Akapitzlist"/>
        <w:numPr>
          <w:ilvl w:val="0"/>
          <w:numId w:val="12"/>
        </w:numPr>
        <w:ind w:left="714" w:right="23" w:hanging="357"/>
        <w:jc w:val="both"/>
        <w:rPr>
          <w:rFonts w:ascii="Calibri" w:hAnsi="Calibri"/>
          <w:sz w:val="20"/>
          <w:szCs w:val="20"/>
        </w:rPr>
      </w:pPr>
      <w:r w:rsidRPr="0053753F">
        <w:rPr>
          <w:rFonts w:ascii="Calibri" w:hAnsi="Calibri"/>
          <w:sz w:val="20"/>
          <w:szCs w:val="20"/>
        </w:rPr>
        <w:t>Kiedy, jak, gdzie….? Odpowiedzi na problemy uczestników.</w:t>
      </w:r>
    </w:p>
    <w:p w14:paraId="4CF20B3D" w14:textId="77777777" w:rsidR="00BD35ED" w:rsidRPr="0053753F" w:rsidRDefault="00BD35ED" w:rsidP="00EA7687">
      <w:pPr>
        <w:spacing w:before="120" w:after="120"/>
        <w:ind w:right="23"/>
        <w:rPr>
          <w:rFonts w:ascii="Calibri" w:hAnsi="Calibri"/>
          <w:b/>
          <w:iCs/>
          <w:color w:val="003399"/>
          <w:sz w:val="20"/>
          <w:szCs w:val="20"/>
        </w:rPr>
      </w:pPr>
      <w:r w:rsidRPr="0053753F">
        <w:rPr>
          <w:rFonts w:ascii="Calibri" w:hAnsi="Calibri"/>
          <w:b/>
          <w:iCs/>
          <w:color w:val="003399"/>
          <w:sz w:val="20"/>
          <w:szCs w:val="20"/>
        </w:rPr>
        <w:t>Analiza przypadków (CASE STUDY):</w:t>
      </w:r>
    </w:p>
    <w:p w14:paraId="7CA5FC2C" w14:textId="77777777" w:rsidR="00BD35ED" w:rsidRPr="00BD35ED" w:rsidRDefault="00BD35ED" w:rsidP="00D07AF2">
      <w:pPr>
        <w:pStyle w:val="Akapitzlist"/>
        <w:numPr>
          <w:ilvl w:val="0"/>
          <w:numId w:val="13"/>
        </w:numPr>
        <w:ind w:right="23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>analiza</w:t>
      </w:r>
      <w:r w:rsidRPr="00BD35ED">
        <w:rPr>
          <w:rFonts w:ascii="Calibri" w:hAnsi="Calibri"/>
          <w:sz w:val="20"/>
          <w:szCs w:val="20"/>
        </w:rPr>
        <w:t xml:space="preserve"> zapisów w kontraktach i </w:t>
      </w:r>
      <w:r w:rsidRPr="00BD35ED">
        <w:rPr>
          <w:rFonts w:ascii="Calibri" w:hAnsi="Calibri"/>
          <w:bCs/>
          <w:iCs/>
          <w:sz w:val="20"/>
          <w:szCs w:val="20"/>
        </w:rPr>
        <w:t>dokumentach w handlu zagranicznym, z punktu widzenia interesów importera,</w:t>
      </w:r>
    </w:p>
    <w:p w14:paraId="06C81C19" w14:textId="77777777" w:rsidR="00BD35ED" w:rsidRPr="00BD35ED" w:rsidRDefault="00BD35ED" w:rsidP="00D07AF2">
      <w:pPr>
        <w:pStyle w:val="Akapitzlist"/>
        <w:numPr>
          <w:ilvl w:val="0"/>
          <w:numId w:val="13"/>
        </w:numPr>
        <w:spacing w:after="240"/>
        <w:ind w:right="23"/>
        <w:contextualSpacing w:val="0"/>
        <w:rPr>
          <w:rFonts w:ascii="Calibri" w:hAnsi="Calibri"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 xml:space="preserve">omówienie sytuacji spornych w imporcie na podstawie zdjęć z portów, magazynów, terminali. </w:t>
      </w:r>
    </w:p>
    <w:p w14:paraId="05BA9E3E" w14:textId="13EE5119" w:rsidR="00BD35ED" w:rsidRDefault="00BD35ED" w:rsidP="00EA7687">
      <w:pPr>
        <w:shd w:val="clear" w:color="auto" w:fill="F2F2F2" w:themeFill="background1" w:themeFillShade="F2"/>
        <w:spacing w:before="240" w:after="240"/>
        <w:rPr>
          <w:rFonts w:ascii="Calibri" w:hAnsi="Calibri"/>
          <w:bCs/>
          <w:i/>
          <w:sz w:val="20"/>
          <w:szCs w:val="20"/>
        </w:rPr>
      </w:pPr>
      <w:r w:rsidRPr="00EA7687">
        <w:rPr>
          <w:rFonts w:ascii="Calibri" w:hAnsi="Calibri"/>
          <w:bCs/>
          <w:i/>
          <w:sz w:val="20"/>
          <w:szCs w:val="20"/>
        </w:rPr>
        <w:t xml:space="preserve">Program nie stanowi harmonogramu i tematy są omawiane w różnej, aczkolwiek logicznej kolejności oraz rozwijane zgodnie </w:t>
      </w:r>
      <w:r w:rsidR="00EA7687">
        <w:rPr>
          <w:rFonts w:ascii="Calibri" w:hAnsi="Calibri"/>
          <w:bCs/>
          <w:i/>
          <w:sz w:val="20"/>
          <w:szCs w:val="20"/>
        </w:rPr>
        <w:t xml:space="preserve">              </w:t>
      </w:r>
      <w:r w:rsidRPr="00EA7687">
        <w:rPr>
          <w:rFonts w:ascii="Calibri" w:hAnsi="Calibri"/>
          <w:bCs/>
          <w:i/>
          <w:sz w:val="20"/>
          <w:szCs w:val="20"/>
        </w:rPr>
        <w:t>z zainteresowaniem uczestników.</w:t>
      </w:r>
    </w:p>
    <w:p w14:paraId="635552EA" w14:textId="77777777" w:rsidR="00BD35ED" w:rsidRPr="00BD35ED" w:rsidRDefault="00BD35ED" w:rsidP="00D07AF2">
      <w:pPr>
        <w:numPr>
          <w:ilvl w:val="2"/>
          <w:numId w:val="6"/>
        </w:numPr>
        <w:rPr>
          <w:rFonts w:ascii="Calibri" w:hAnsi="Calibri"/>
          <w:bCs/>
          <w:iCs/>
          <w:sz w:val="20"/>
          <w:szCs w:val="20"/>
        </w:rPr>
      </w:pPr>
      <w:r w:rsidRPr="00BD35ED">
        <w:rPr>
          <w:rFonts w:ascii="Calibri" w:hAnsi="Calibri"/>
          <w:b/>
          <w:iCs/>
          <w:sz w:val="20"/>
          <w:szCs w:val="20"/>
        </w:rPr>
        <w:t>DODATKOWO!</w:t>
      </w:r>
      <w:r w:rsidRPr="00BD35ED">
        <w:rPr>
          <w:rFonts w:ascii="Calibri" w:hAnsi="Calibri"/>
          <w:bCs/>
          <w:iCs/>
          <w:sz w:val="20"/>
          <w:szCs w:val="20"/>
        </w:rPr>
        <w:t xml:space="preserve"> Konsultacje po szkoleniu przez Internet. </w:t>
      </w:r>
    </w:p>
    <w:p w14:paraId="5B5AC328" w14:textId="77777777" w:rsidR="00BD35ED" w:rsidRPr="00BD35ED" w:rsidRDefault="00BD35ED" w:rsidP="00D07AF2">
      <w:pPr>
        <w:numPr>
          <w:ilvl w:val="2"/>
          <w:numId w:val="6"/>
        </w:numPr>
        <w:spacing w:after="360"/>
        <w:rPr>
          <w:rFonts w:ascii="Calibri" w:hAnsi="Calibri"/>
          <w:b/>
          <w:iCs/>
          <w:sz w:val="20"/>
          <w:szCs w:val="20"/>
        </w:rPr>
      </w:pPr>
      <w:r w:rsidRPr="00BD35ED">
        <w:rPr>
          <w:rFonts w:ascii="Calibri" w:hAnsi="Calibri"/>
          <w:bCs/>
          <w:iCs/>
          <w:sz w:val="20"/>
          <w:szCs w:val="20"/>
        </w:rPr>
        <w:t xml:space="preserve">Zachęcamy uczestników do przesyłania pytań związanych z tematyką szkolenia na minimum 10 dni przed </w:t>
      </w:r>
      <w:proofErr w:type="spellStart"/>
      <w:r w:rsidRPr="00BD35ED">
        <w:rPr>
          <w:rFonts w:ascii="Calibri" w:hAnsi="Calibri"/>
          <w:bCs/>
          <w:iCs/>
          <w:sz w:val="20"/>
          <w:szCs w:val="20"/>
        </w:rPr>
        <w:t>jegoterminem</w:t>
      </w:r>
      <w:proofErr w:type="spellEnd"/>
      <w:r w:rsidRPr="00BD35ED">
        <w:rPr>
          <w:rFonts w:ascii="Calibri" w:hAnsi="Calibri"/>
          <w:b/>
          <w:iCs/>
          <w:sz w:val="20"/>
          <w:szCs w:val="20"/>
        </w:rPr>
        <w:t>.</w:t>
      </w:r>
    </w:p>
    <w:p w14:paraId="6841C36B" w14:textId="77777777" w:rsidR="006C4953" w:rsidRPr="009F1754" w:rsidRDefault="006C4953" w:rsidP="004A56AC">
      <w:pPr>
        <w:shd w:val="clear" w:color="auto" w:fill="003399"/>
        <w:spacing w:after="6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9F1754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9F1754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3DF2BB82" w14:textId="545BD0C1" w:rsidR="006C4953" w:rsidRPr="00EA7687" w:rsidRDefault="006C4953" w:rsidP="00B0129B">
      <w:pPr>
        <w:spacing w:before="120"/>
        <w:jc w:val="both"/>
        <w:rPr>
          <w:rFonts w:asciiTheme="minorHAnsi" w:hAnsiTheme="minorHAnsi"/>
          <w:sz w:val="19"/>
          <w:szCs w:val="19"/>
          <w:lang w:eastAsia="en-US"/>
        </w:rPr>
      </w:pPr>
      <w:r w:rsidRPr="00EA7687">
        <w:rPr>
          <w:rFonts w:asciiTheme="minorHAnsi" w:hAnsiTheme="minorHAnsi"/>
          <w:b/>
          <w:bCs/>
          <w:sz w:val="19"/>
          <w:szCs w:val="19"/>
          <w:lang w:eastAsia="en-US"/>
        </w:rPr>
        <w:t xml:space="preserve">Jest uznanym specjalistą w zakresie negocjowania i zawierania umów handlowych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i naukowy, pracując </w:t>
      </w:r>
      <w:r w:rsidR="00EA7687">
        <w:rPr>
          <w:rFonts w:asciiTheme="minorHAnsi" w:hAnsiTheme="minorHAnsi"/>
          <w:b/>
          <w:bCs/>
          <w:sz w:val="19"/>
          <w:szCs w:val="19"/>
          <w:lang w:eastAsia="en-US"/>
        </w:rPr>
        <w:t xml:space="preserve">                       </w:t>
      </w:r>
      <w:r w:rsidRPr="00EA7687">
        <w:rPr>
          <w:rFonts w:asciiTheme="minorHAnsi" w:hAnsiTheme="minorHAnsi"/>
          <w:b/>
          <w:bCs/>
          <w:sz w:val="19"/>
          <w:szCs w:val="19"/>
          <w:lang w:eastAsia="en-US"/>
        </w:rPr>
        <w:t>w Szkole Głównej Handlowej w Warszawie.</w:t>
      </w:r>
      <w:r w:rsidRPr="00EA7687">
        <w:rPr>
          <w:rFonts w:asciiTheme="minorHAnsi" w:hAnsiTheme="minorHAnsi"/>
          <w:sz w:val="19"/>
          <w:szCs w:val="19"/>
          <w:lang w:eastAsia="en-US"/>
        </w:rPr>
        <w:t xml:space="preserve"> Jest długoletnim doradcą wielu firm polskich i międzynarodowych korporacji w Polsce, w tym </w:t>
      </w:r>
      <w:r w:rsidR="00EA7687">
        <w:rPr>
          <w:rFonts w:asciiTheme="minorHAnsi" w:hAnsiTheme="minorHAnsi"/>
          <w:sz w:val="19"/>
          <w:szCs w:val="19"/>
          <w:lang w:eastAsia="en-US"/>
        </w:rPr>
        <w:t xml:space="preserve"> </w:t>
      </w:r>
      <w:r w:rsidRPr="00EA7687">
        <w:rPr>
          <w:rFonts w:asciiTheme="minorHAnsi" w:hAnsiTheme="minorHAnsi"/>
          <w:sz w:val="19"/>
          <w:szCs w:val="19"/>
          <w:lang w:eastAsia="en-US"/>
        </w:rPr>
        <w:t>w zakresie negocjacji z partnerami zagranicznymi oraz analizy umów pod względem pułapek</w:t>
      </w:r>
      <w:r w:rsidR="00EA7687">
        <w:rPr>
          <w:rFonts w:asciiTheme="minorHAnsi" w:hAnsiTheme="minorHAnsi"/>
          <w:sz w:val="19"/>
          <w:szCs w:val="19"/>
          <w:lang w:eastAsia="en-US"/>
        </w:rPr>
        <w:t xml:space="preserve"> </w:t>
      </w:r>
      <w:r w:rsidRPr="00EA7687">
        <w:rPr>
          <w:rFonts w:asciiTheme="minorHAnsi" w:hAnsiTheme="minorHAnsi"/>
          <w:sz w:val="19"/>
          <w:szCs w:val="19"/>
          <w:lang w:eastAsia="en-US"/>
        </w:rPr>
        <w:t xml:space="preserve">i niekorzystnych sformułowań. Prowadził negocjacje handlowe z przedstawicielami różnych kultur. </w:t>
      </w:r>
    </w:p>
    <w:p w14:paraId="241049B0" w14:textId="4F50537F" w:rsidR="006C4953" w:rsidRPr="00EA7687" w:rsidRDefault="006C4953" w:rsidP="006C4953">
      <w:pPr>
        <w:spacing w:before="120"/>
        <w:jc w:val="both"/>
        <w:rPr>
          <w:rFonts w:asciiTheme="minorHAnsi" w:hAnsiTheme="minorHAnsi"/>
          <w:sz w:val="19"/>
          <w:szCs w:val="19"/>
          <w:lang w:eastAsia="en-US"/>
        </w:rPr>
      </w:pPr>
      <w:r w:rsidRPr="00EA7687">
        <w:rPr>
          <w:rFonts w:asciiTheme="minorHAnsi" w:hAnsiTheme="minorHAnsi"/>
          <w:sz w:val="19"/>
          <w:szCs w:val="19"/>
          <w:lang w:eastAsia="en-US"/>
        </w:rPr>
        <w:t>Przeszkolił kilkadziesiąt tysięcy menedżerów i handlowców oraz napisał 60 książek, wydanych w kraju i za granicą, w tym poświęcone akredytywie i innym zabezpieczeniom finansowym transakcji. Szczególnym powodzeniem na rynku cieszyła się książka „ Leksykon handlu zagranicznego – rozliczenia i finanse”, zawierająca najszerszy w literaturze przegląd zabezpieczeń finansowych</w:t>
      </w:r>
      <w:r w:rsidR="00EA7687">
        <w:rPr>
          <w:rFonts w:asciiTheme="minorHAnsi" w:hAnsiTheme="minorHAnsi"/>
          <w:sz w:val="19"/>
          <w:szCs w:val="19"/>
          <w:lang w:eastAsia="en-US"/>
        </w:rPr>
        <w:t xml:space="preserve"> </w:t>
      </w:r>
      <w:r w:rsidRPr="00EA7687">
        <w:rPr>
          <w:rFonts w:asciiTheme="minorHAnsi" w:hAnsiTheme="minorHAnsi"/>
          <w:sz w:val="19"/>
          <w:szCs w:val="19"/>
          <w:lang w:eastAsia="en-US"/>
        </w:rPr>
        <w:t>i sposobów rozliczeń transakcji (m.in. dokładną analizę 47 rodzajów akredytyw czy 19 rodzajów inkasa).</w:t>
      </w:r>
    </w:p>
    <w:p w14:paraId="1FE7A827" w14:textId="14FAA0E5" w:rsidR="006C4953" w:rsidRPr="00EA7687" w:rsidRDefault="006C4953" w:rsidP="006C4953">
      <w:pPr>
        <w:spacing w:before="120"/>
        <w:jc w:val="both"/>
        <w:rPr>
          <w:rFonts w:ascii="Calibri" w:hAnsi="Calibri"/>
          <w:color w:val="003366"/>
          <w:sz w:val="19"/>
          <w:szCs w:val="19"/>
        </w:rPr>
      </w:pPr>
      <w:r w:rsidRPr="00EA7687">
        <w:rPr>
          <w:rFonts w:asciiTheme="minorHAnsi" w:hAnsiTheme="minorHAnsi"/>
          <w:sz w:val="19"/>
          <w:szCs w:val="19"/>
          <w:lang w:eastAsia="en-US"/>
        </w:rPr>
        <w:t>Inne pozycje autorstwa dr Wojciecha Budzyńskiego poświęconych tematyce handlowej to, m.in.: „Eksport w prz</w:t>
      </w:r>
      <w:r w:rsidR="004C0316" w:rsidRPr="00EA7687">
        <w:rPr>
          <w:rFonts w:asciiTheme="minorHAnsi" w:hAnsiTheme="minorHAnsi"/>
          <w:sz w:val="19"/>
          <w:szCs w:val="19"/>
          <w:lang w:eastAsia="en-US"/>
        </w:rPr>
        <w:t xml:space="preserve">edsiębiorstwie” (2016), „Zakupy </w:t>
      </w:r>
      <w:r w:rsidRPr="00EA7687">
        <w:rPr>
          <w:rFonts w:asciiTheme="minorHAnsi" w:hAnsiTheme="minorHAnsi"/>
          <w:sz w:val="19"/>
          <w:szCs w:val="19"/>
          <w:lang w:eastAsia="en-US"/>
        </w:rPr>
        <w:t xml:space="preserve">w przedsiębiorstwie” (2016) „Negocjowanie i zawieranie umów handlowych.” (wydanie elektroniczne EBOOK 2015),  „Umowy  </w:t>
      </w:r>
      <w:r w:rsidR="00EA7687">
        <w:rPr>
          <w:rFonts w:asciiTheme="minorHAnsi" w:hAnsiTheme="minorHAnsi"/>
          <w:sz w:val="19"/>
          <w:szCs w:val="19"/>
          <w:lang w:eastAsia="en-US"/>
        </w:rPr>
        <w:t xml:space="preserve">                          </w:t>
      </w:r>
      <w:r w:rsidRPr="00EA7687">
        <w:rPr>
          <w:rFonts w:asciiTheme="minorHAnsi" w:hAnsiTheme="minorHAnsi"/>
          <w:sz w:val="19"/>
          <w:szCs w:val="19"/>
          <w:lang w:eastAsia="en-US"/>
        </w:rPr>
        <w:t xml:space="preserve">w handlu krajowym i zagranicznym. Nowe bazy dostawy, pułapki, zabezpieczenia.” (2015), „Negocjowanie i zawieranie umów handlowych. Analiza uwarunkowań, </w:t>
      </w:r>
      <w:proofErr w:type="spellStart"/>
      <w:r w:rsidRPr="00EA7687">
        <w:rPr>
          <w:rFonts w:asciiTheme="minorHAnsi" w:hAnsiTheme="minorHAnsi"/>
          <w:sz w:val="19"/>
          <w:szCs w:val="19"/>
          <w:lang w:eastAsia="en-US"/>
        </w:rPr>
        <w:t>ryzyk</w:t>
      </w:r>
      <w:proofErr w:type="spellEnd"/>
      <w:r w:rsidRPr="00EA7687">
        <w:rPr>
          <w:rFonts w:asciiTheme="minorHAnsi" w:hAnsiTheme="minorHAnsi"/>
          <w:sz w:val="19"/>
          <w:szCs w:val="19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EA7687">
        <w:rPr>
          <w:rFonts w:asciiTheme="minorHAnsi" w:hAnsiTheme="minorHAnsi"/>
          <w:sz w:val="19"/>
          <w:szCs w:val="19"/>
          <w:lang w:eastAsia="en-US"/>
        </w:rPr>
        <w:t>Incoterms</w:t>
      </w:r>
      <w:proofErr w:type="spellEnd"/>
      <w:r w:rsidRPr="00EA7687">
        <w:rPr>
          <w:rFonts w:asciiTheme="minorHAnsi" w:hAnsiTheme="minorHAnsi"/>
          <w:sz w:val="19"/>
          <w:szCs w:val="19"/>
          <w:lang w:eastAsia="en-US"/>
        </w:rPr>
        <w:t xml:space="preserve">. </w:t>
      </w:r>
      <w:proofErr w:type="spellStart"/>
      <w:r w:rsidRPr="00EA7687">
        <w:rPr>
          <w:rFonts w:asciiTheme="minorHAnsi" w:hAnsiTheme="minorHAnsi"/>
          <w:sz w:val="19"/>
          <w:szCs w:val="19"/>
          <w:lang w:eastAsia="en-US"/>
        </w:rPr>
        <w:t>Combiterms</w:t>
      </w:r>
      <w:proofErr w:type="spellEnd"/>
      <w:r w:rsidRPr="00EA7687">
        <w:rPr>
          <w:rFonts w:asciiTheme="minorHAnsi" w:hAnsiTheme="minorHAnsi"/>
          <w:sz w:val="19"/>
          <w:szCs w:val="19"/>
          <w:lang w:eastAsia="en-US"/>
        </w:rPr>
        <w:t xml:space="preserve">. Amerykańskie Definicje Handlowe RAFTD.”, „Poradnik eksportera komponentów.”, „Słownik dokumentów handlu zagranicznego. Opis i wzory dokumentów.”, „Eksport – import według </w:t>
      </w:r>
      <w:proofErr w:type="spellStart"/>
      <w:r w:rsidRPr="00EA7687">
        <w:rPr>
          <w:rFonts w:asciiTheme="minorHAnsi" w:hAnsiTheme="minorHAnsi"/>
          <w:sz w:val="19"/>
          <w:szCs w:val="19"/>
          <w:lang w:eastAsia="en-US"/>
        </w:rPr>
        <w:t>Incoterms</w:t>
      </w:r>
      <w:proofErr w:type="spellEnd"/>
      <w:r w:rsidRPr="00EA7687">
        <w:rPr>
          <w:rFonts w:asciiTheme="minorHAnsi" w:hAnsiTheme="minorHAnsi"/>
          <w:sz w:val="19"/>
          <w:szCs w:val="19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EA7687">
        <w:rPr>
          <w:rFonts w:asciiTheme="minorHAnsi" w:hAnsiTheme="minorHAnsi"/>
          <w:sz w:val="19"/>
          <w:szCs w:val="19"/>
          <w:lang w:eastAsia="en-US"/>
        </w:rPr>
        <w:t>Incoterms</w:t>
      </w:r>
      <w:proofErr w:type="spellEnd"/>
      <w:r w:rsidRPr="00EA7687">
        <w:rPr>
          <w:rFonts w:asciiTheme="minorHAnsi" w:hAnsiTheme="minorHAnsi"/>
          <w:sz w:val="19"/>
          <w:szCs w:val="19"/>
          <w:lang w:eastAsia="en-US"/>
        </w:rPr>
        <w:t>.”</w:t>
      </w:r>
    </w:p>
    <w:p w14:paraId="5F0515BB" w14:textId="77777777" w:rsidR="003907A1" w:rsidRPr="00096333" w:rsidRDefault="003907A1" w:rsidP="005C72B0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611F9168" w14:textId="77777777" w:rsidR="003907A1" w:rsidRPr="00213FCF" w:rsidRDefault="003907A1" w:rsidP="00213FCF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213FCF">
        <w:rPr>
          <w:rFonts w:ascii="Calibri" w:hAnsi="Calibri"/>
          <w:b/>
          <w:bCs/>
          <w:color w:val="FFFFFF"/>
          <w:sz w:val="18"/>
          <w:szCs w:val="18"/>
        </w:rPr>
        <w:t>SZKOLENIA ZAMKNIĘTE</w:t>
      </w:r>
    </w:p>
    <w:p w14:paraId="131A20E5" w14:textId="130E02BA" w:rsidR="003907A1" w:rsidRPr="00213FCF" w:rsidRDefault="003907A1" w:rsidP="005C72B0">
      <w:pPr>
        <w:shd w:val="clear" w:color="auto" w:fill="003399"/>
        <w:ind w:right="6"/>
        <w:jc w:val="center"/>
        <w:rPr>
          <w:sz w:val="18"/>
          <w:szCs w:val="18"/>
        </w:rPr>
      </w:pPr>
      <w:r w:rsidRPr="00213FCF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TEGO SZKOLENIA  W SWOJEJ FIRMIE </w:t>
      </w:r>
      <w:r w:rsidR="001E122F" w:rsidRPr="00213FCF">
        <w:rPr>
          <w:rFonts w:ascii="Calibri" w:hAnsi="Calibri"/>
          <w:b/>
          <w:bCs/>
          <w:color w:val="FFC000"/>
          <w:sz w:val="18"/>
          <w:szCs w:val="18"/>
        </w:rPr>
        <w:t>(TAKŻE ONLINE)</w:t>
      </w:r>
      <w:r w:rsidR="001E122F" w:rsidRPr="00213FCF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213FCF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</w:t>
      </w:r>
      <w:r w:rsidRPr="00213FCF">
        <w:rPr>
          <w:rFonts w:ascii="Calibri" w:hAnsi="Calibri"/>
          <w:b/>
          <w:bCs/>
          <w:color w:val="FFFFFF"/>
          <w:sz w:val="18"/>
          <w:szCs w:val="18"/>
        </w:rPr>
        <w:t>PROSIMY O KONTAKT TELEFONICZNY: 22 853 35 23, TEL. KOM.: 607 573 053 LUB E-MAIL</w:t>
      </w:r>
      <w:r w:rsidRPr="00213FCF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7" w:history="1">
        <w:r w:rsidRPr="00213FCF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6C6CAA0F" w14:textId="77777777" w:rsidR="003907A1" w:rsidRDefault="003907A1" w:rsidP="005C72B0">
      <w:pPr>
        <w:shd w:val="clear" w:color="auto" w:fill="003399"/>
        <w:ind w:right="6"/>
      </w:pPr>
    </w:p>
    <w:p w14:paraId="1FC4FC7C" w14:textId="77777777" w:rsidR="003907A1" w:rsidRPr="005C72B0" w:rsidRDefault="003907A1" w:rsidP="004261C3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</w:pPr>
      <w:r w:rsidRPr="005C72B0">
        <w:rPr>
          <w:rFonts w:ascii="Calibri" w:hAnsi="Calibri"/>
          <w:b/>
          <w:bCs/>
          <w:i/>
          <w:iCs/>
          <w:color w:val="003399"/>
          <w:sz w:val="20"/>
          <w:szCs w:val="20"/>
        </w:rPr>
        <w:t>Szkolenia zamknięte organizowaliśmy m.in. dla:</w:t>
      </w:r>
    </w:p>
    <w:p w14:paraId="274B60AA" w14:textId="77777777" w:rsidR="00897CC2" w:rsidRDefault="00897CC2" w:rsidP="005C72B0">
      <w:pPr>
        <w:shd w:val="clear" w:color="auto" w:fill="FFFFFF" w:themeFill="background1"/>
        <w:jc w:val="center"/>
        <w:rPr>
          <w:rFonts w:ascii="Calibri" w:hAnsi="Calibri"/>
          <w:b/>
          <w:color w:val="FFFFFF"/>
          <w:sz w:val="20"/>
          <w:szCs w:val="20"/>
        </w:rPr>
        <w:sectPr w:rsidR="00897CC2" w:rsidSect="00897CC2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2ADEC01A" w14:textId="77777777" w:rsidR="00213FCF" w:rsidRPr="0046290F" w:rsidRDefault="00213FCF" w:rsidP="00213FCF">
      <w:pPr>
        <w:pStyle w:val="Tekstpodstawowy2"/>
        <w:numPr>
          <w:ilvl w:val="0"/>
          <w:numId w:val="15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3E7C6F4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6C4C0D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0527DD9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656CB4A2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65A8F5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2B39799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56FB255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7BD397D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7F75509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52A1E5A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27F4436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0CAE3C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6290C12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664DCA2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5152339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5991B20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456844C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4C2499D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332F4C8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389805C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3B226D3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32C5EE7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6E5935B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6F6FD24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2FE2CB3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2A9B5D6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255A9FB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20AD256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2D8029D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28D320D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46A0716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42AB82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5E7C48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676B3B6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17D26F0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EFB2BF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04D3D38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4D664EC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8E95B1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5B57AA8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4D354FC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142B6F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4771557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61E8206D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2130D4E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6964A3E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4F14DD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843A79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6681231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032B53D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303D157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326D10F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1D31581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090DE55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75250DA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2989BCF3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242284B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5B4AB43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5BF0FB0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46DBDD5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7BC8291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48DDAF0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B8F63D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46F6554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733319F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0A777B3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4BE8AE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3CE29F6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5D0AC93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01D68B7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1EB216F3" w14:textId="77777777" w:rsidR="00213FCF" w:rsidRPr="007E03BA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31272845" w14:textId="77777777" w:rsidR="00213FCF" w:rsidRPr="007E03BA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Hilton Foods Ltd. sp. z o.o.,</w:t>
      </w:r>
    </w:p>
    <w:p w14:paraId="4640AE3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3A67607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2AEBDCA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357D4B2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22B84E5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13A2242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4E5240D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448D586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7D86713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29B325F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58C4A23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0A8EF86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29DBA57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6A6876BD" w14:textId="77777777" w:rsidR="00213FCF" w:rsidRPr="007E03BA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44A011B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4BD395C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0F2500E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199F839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178724A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3694C48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04441D9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442F628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68E38B8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C6C22D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5B8079E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AD25662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248CCE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5DE9E24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709AC39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7C4F479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087B02F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722D88B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57E3675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49FF722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67CB394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A6237D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2504BFB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423AD6E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6653EB9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3C828B4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725E0D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032F348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44FE0CB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613A5F6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76B1FF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03B5A13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69F5AE9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1136BB62" w14:textId="77777777" w:rsidR="00213FCF" w:rsidRPr="007E03BA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7BBF55B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OS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>Specjalistycznych Straży Granicznej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7649749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7B0B074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7123AFD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011EDFF2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88209FA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4FC5851A" w14:textId="77777777" w:rsidR="00213FCF" w:rsidRPr="004B1378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67900E2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1C7BA5E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4E98E13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5A05DC31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2DDD276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183C9D7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870AC6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4593AA2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CF3DB8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423ACFA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Agencja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653DC15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0D2F07D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604D7A4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1759038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4CEA51E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PM</w:t>
      </w:r>
      <w:r>
        <w:rPr>
          <w:rFonts w:ascii="Calibri" w:hAnsi="Calibri"/>
          <w:i/>
          <w:iCs/>
          <w:sz w:val="14"/>
          <w:szCs w:val="14"/>
        </w:rPr>
        <w:t>O</w:t>
      </w:r>
      <w:r w:rsidRPr="0046290F">
        <w:rPr>
          <w:rFonts w:ascii="Calibri" w:hAnsi="Calibri"/>
          <w:i/>
          <w:iCs/>
          <w:sz w:val="14"/>
          <w:szCs w:val="14"/>
        </w:rPr>
        <w:t xml:space="preserve">  „KOMEX” Sp. z o.o., </w:t>
      </w:r>
    </w:p>
    <w:p w14:paraId="5454D34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553AF64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20702A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71FE442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42891A1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20BB4F8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4CE7DAF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75C74004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77EFCBF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456FCB5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6CD9C7D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79D546A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6040E5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64A811A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1EBAF86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5D8907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602AE12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680D3AC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5E9611A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3E2F460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369F1E2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155090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0647136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6FBF239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2C4356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0C41DEC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60C45C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2FDD695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5C1FE39C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4E6BB4C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15043A93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5E47D6E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050CD41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5830F3E2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6908FF2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1931D4D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27BEE2C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610E6EE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1C1EE90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07E9BED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2D4AFE3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310893F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31203FB5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3D38D8F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8E81B2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0B66E87D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05F1A8CE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22E58C74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5B49F8A9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3FD53FE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7301C9A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26A1D6BF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29B8378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1B36FD3A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279D62FA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5BEAE08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5CB5188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2A7AB954" w14:textId="77777777" w:rsidR="00213FCF" w:rsidRPr="00553C59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Anonyme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 </w:t>
      </w:r>
    </w:p>
    <w:p w14:paraId="41248D8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32564EDB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41C0718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248EDE6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32DB63A7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258AC201" w14:textId="77777777" w:rsidR="00213FCF" w:rsidRPr="0046290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57416D04" w14:textId="77777777" w:rsidR="00213FCF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135E2E16" w14:textId="04000554" w:rsidR="005C72B0" w:rsidRPr="00096333" w:rsidRDefault="00213FCF" w:rsidP="00213FC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5C72B0" w:rsidRPr="00096333" w:rsidSect="00213FC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553C59">
        <w:rPr>
          <w:rFonts w:ascii="Calibri" w:hAnsi="Calibri"/>
          <w:i/>
          <w:iCs/>
          <w:sz w:val="14"/>
          <w:szCs w:val="14"/>
        </w:rPr>
        <w:t>ZMG Sp. z o.o.</w:t>
      </w:r>
    </w:p>
    <w:p w14:paraId="64451095" w14:textId="77777777" w:rsidR="003907A1" w:rsidRDefault="003907A1" w:rsidP="005C72B0">
      <w:pPr>
        <w:pStyle w:val="Tekstpodstawowy2"/>
        <w:rPr>
          <w:rFonts w:ascii="Calibri" w:hAnsi="Calibri"/>
          <w:i/>
          <w:iCs/>
          <w:sz w:val="15"/>
          <w:szCs w:val="15"/>
        </w:rPr>
        <w:sectPr w:rsidR="003907A1" w:rsidSect="003907A1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19" w:type="dxa"/>
        <w:tblInd w:w="70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44"/>
        <w:gridCol w:w="17"/>
      </w:tblGrid>
      <w:tr w:rsidR="00C66560" w14:paraId="006A178C" w14:textId="77777777" w:rsidTr="009C7F35">
        <w:trPr>
          <w:gridAfter w:val="1"/>
          <w:wAfter w:w="17" w:type="dxa"/>
          <w:cantSplit/>
          <w:trHeight w:val="354"/>
        </w:trPr>
        <w:tc>
          <w:tcPr>
            <w:tcW w:w="10702" w:type="dxa"/>
            <w:gridSpan w:val="4"/>
            <w:shd w:val="clear" w:color="auto" w:fill="003399"/>
            <w:vAlign w:val="center"/>
          </w:tcPr>
          <w:p w14:paraId="778690B3" w14:textId="77777777" w:rsidR="00C66560" w:rsidRPr="00BE5877" w:rsidRDefault="00C66560" w:rsidP="005C72B0">
            <w:pPr>
              <w:pStyle w:val="Tekstpodstawowy3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 w:rsidR="00F0276C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853 35 23</w:t>
            </w:r>
            <w:r w:rsidR="003B13BE">
              <w:rPr>
                <w:rFonts w:ascii="Calibri" w:hAnsi="Calibri"/>
                <w:color w:val="FFFFFF"/>
                <w:sz w:val="26"/>
                <w:szCs w:val="26"/>
              </w:rPr>
              <w:t>, 607 573 053</w:t>
            </w:r>
            <w:r w:rsidR="00F0276C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www.atl.edu.pl</w:t>
            </w:r>
          </w:p>
        </w:tc>
      </w:tr>
      <w:tr w:rsidR="009C7F35" w:rsidRPr="00B62B12" w14:paraId="72478567" w14:textId="77777777" w:rsidTr="009C7F3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9C2A35" w14:textId="77777777" w:rsidR="009C7F35" w:rsidRPr="001E1762" w:rsidRDefault="009C7F35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D0BF2B9" w14:textId="77777777" w:rsidR="009C7F35" w:rsidRPr="00121F4D" w:rsidRDefault="009C7F35" w:rsidP="009C7F35">
            <w:pPr>
              <w:pStyle w:val="Akapitzlist"/>
              <w:numPr>
                <w:ilvl w:val="0"/>
                <w:numId w:val="16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E6B50EA" w14:textId="77777777" w:rsidR="009C7F35" w:rsidRPr="00121F4D" w:rsidRDefault="009C7F35" w:rsidP="009C7F35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160BF335" w14:textId="77777777" w:rsidR="009C7F35" w:rsidRPr="00121F4D" w:rsidRDefault="009C7F35" w:rsidP="009C7F35">
            <w:pPr>
              <w:pStyle w:val="Akapitzlist"/>
              <w:numPr>
                <w:ilvl w:val="0"/>
                <w:numId w:val="16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637DF5B1" w14:textId="77777777" w:rsidR="009C7F35" w:rsidRPr="00AF3398" w:rsidRDefault="009C7F35" w:rsidP="009C7F35">
            <w:pPr>
              <w:pStyle w:val="Akapitzlist"/>
              <w:numPr>
                <w:ilvl w:val="0"/>
                <w:numId w:val="16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9C7F35" w:rsidRPr="00B62B12" w14:paraId="17CD565D" w14:textId="77777777" w:rsidTr="009C7F3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CD5B528" w14:textId="77777777" w:rsidR="009C7F35" w:rsidRPr="00B62B12" w:rsidRDefault="009C7F35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D93995E" w14:textId="77777777" w:rsidR="009C7F35" w:rsidRPr="00B62B12" w:rsidRDefault="009C7F35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26FA32F" w14:textId="77777777" w:rsidR="009C7F35" w:rsidRPr="00B62B12" w:rsidRDefault="009C7F35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FD41B9E" w14:textId="77777777" w:rsidR="009C7F35" w:rsidRPr="00B62B12" w:rsidRDefault="009C7F3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27343233" w14:textId="77777777" w:rsidR="009C7F35" w:rsidRPr="00B62B12" w:rsidRDefault="009C7F3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1876920A" w14:textId="77777777" w:rsidR="009C7F35" w:rsidRPr="00B62B12" w:rsidRDefault="009C7F35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C7F35" w:rsidRPr="00B62B12" w14:paraId="3ABA35B1" w14:textId="77777777" w:rsidTr="009C7F3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76E143" w14:textId="77777777" w:rsidR="009C7F35" w:rsidRPr="004234B8" w:rsidRDefault="009C7F35" w:rsidP="009C7F3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AAC9903" w14:textId="77777777" w:rsidR="009C7F35" w:rsidRPr="00B62B12" w:rsidRDefault="009C7F35" w:rsidP="009C7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2A76E17B" w14:textId="77777777" w:rsidR="009C7F35" w:rsidRPr="00B62B12" w:rsidRDefault="009C7F35" w:rsidP="009C7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61B408" w14:textId="4863B76A" w:rsidR="009C7F35" w:rsidRPr="00657E1B" w:rsidRDefault="000D7DE5" w:rsidP="009C7F3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9C7F35" w:rsidRPr="00BF562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9C7F35" w:rsidRPr="00BF562A">
              <w:rPr>
                <w:rFonts w:asciiTheme="minorHAnsi" w:hAnsiTheme="minorHAnsi"/>
                <w:sz w:val="22"/>
                <w:szCs w:val="22"/>
              </w:rPr>
              <w:t>.2022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29F790" w14:textId="0EE40AF9" w:rsidR="009C7F35" w:rsidRPr="00B62B12" w:rsidRDefault="009C7F35" w:rsidP="009C7F3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0D7DE5">
              <w:rPr>
                <w:rFonts w:ascii="Calibri" w:hAnsi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0D7DE5">
              <w:rPr>
                <w:rFonts w:ascii="Calibri" w:hAnsi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80B1A64" w14:textId="77777777" w:rsidR="009C7F35" w:rsidRPr="00AF4968" w:rsidRDefault="009C7F35" w:rsidP="009C7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D004851" w14:textId="77777777" w:rsidR="009C7F35" w:rsidRPr="00AF4968" w:rsidRDefault="009C7F35" w:rsidP="009C7F35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EE32B09" w14:textId="77777777" w:rsidR="009C7F35" w:rsidRPr="00AF4968" w:rsidRDefault="009C7F35" w:rsidP="009C7F3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7BF6C96A" w14:textId="77777777" w:rsidR="009C7F35" w:rsidRPr="00AF4968" w:rsidRDefault="009C7F35" w:rsidP="009C7F3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599DCD8" w14:textId="77777777" w:rsidR="009C7F35" w:rsidRPr="00AF4968" w:rsidRDefault="009C7F35" w:rsidP="009C7F3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14AA9E5F" w14:textId="77777777" w:rsidR="009C7F35" w:rsidRPr="00B62B12" w:rsidRDefault="009C7F35" w:rsidP="009C7F3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760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8A5888" w14:textId="77777777" w:rsidR="009C7F35" w:rsidRDefault="009C7F35" w:rsidP="009C7F3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735830" w14:textId="77777777" w:rsidR="009C7F35" w:rsidRPr="003674BB" w:rsidRDefault="009C7F35" w:rsidP="009C7F35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860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0AE9CE" w14:textId="77777777" w:rsidR="009C7F35" w:rsidRPr="00577E71" w:rsidRDefault="009C7F35" w:rsidP="009C7F35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47B8386F" w14:textId="101202C4" w:rsidR="009C7F35" w:rsidRDefault="009C7F35" w:rsidP="009C7F35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bookmarkStart w:id="10" w:name="_GoBack"/>
      <w:bookmarkEnd w:id="10"/>
    </w:p>
    <w:p w14:paraId="0159E7CC" w14:textId="77777777" w:rsidR="009C7F35" w:rsidRPr="00E174E9" w:rsidRDefault="009C7F35" w:rsidP="009C7F35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9C7F35" w:rsidRPr="00134382" w14:paraId="512ACE6D" w14:textId="77777777" w:rsidTr="009C7F35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711E3F0B" w14:textId="77777777" w:rsidR="009C7F35" w:rsidRPr="00F024BF" w:rsidRDefault="009C7F35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30658335" w14:textId="77777777" w:rsidR="009C7F35" w:rsidRPr="00F024BF" w:rsidRDefault="009C7F35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41675129" w14:textId="77777777" w:rsidR="009C7F35" w:rsidRPr="00F024BF" w:rsidRDefault="009C7F35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33A1619F" w14:textId="77777777" w:rsidR="009C7F35" w:rsidRPr="00F024BF" w:rsidRDefault="009C7F35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9C7F35" w:rsidRPr="00134382" w14:paraId="53DC4401" w14:textId="77777777" w:rsidTr="009C7F35">
        <w:trPr>
          <w:trHeight w:val="73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7F78AE30" w14:textId="77777777" w:rsidR="009C7F35" w:rsidRDefault="009C7F3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53BF6817" w14:textId="7F0BB1B6" w:rsidR="009C7F35" w:rsidRPr="00935E4D" w:rsidRDefault="000556B0" w:rsidP="007B4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0D7DE5">
              <w:rPr>
                <w:rFonts w:asciiTheme="minorHAnsi" w:hAnsiTheme="minorHAnsi"/>
                <w:sz w:val="20"/>
                <w:szCs w:val="20"/>
              </w:rPr>
              <w:t>3</w:t>
            </w:r>
            <w:r w:rsidR="009C7F35">
              <w:rPr>
                <w:rFonts w:asciiTheme="minorHAnsi" w:hAnsiTheme="minorHAnsi"/>
                <w:sz w:val="20"/>
                <w:szCs w:val="20"/>
              </w:rPr>
              <w:t>.</w:t>
            </w:r>
            <w:r w:rsidR="000D7DE5">
              <w:rPr>
                <w:rFonts w:asciiTheme="minorHAnsi" w:hAnsiTheme="minorHAnsi"/>
                <w:sz w:val="20"/>
                <w:szCs w:val="20"/>
              </w:rPr>
              <w:t>11</w:t>
            </w:r>
            <w:r w:rsidR="009C7F35"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71090F8C" w14:textId="34EFF71F" w:rsidR="009C7F35" w:rsidRDefault="000D7DE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</w:t>
            </w:r>
            <w:r w:rsidR="009C7F35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9C7F35"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03A65BDC" w14:textId="77777777" w:rsidR="009C7F35" w:rsidRPr="008B239E" w:rsidRDefault="009C7F3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201EACEA" w14:textId="77777777" w:rsidR="009C7F35" w:rsidRPr="009A1F64" w:rsidRDefault="009C7F35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55ADEBED" w14:textId="77777777" w:rsidR="009C7F35" w:rsidRPr="00656DAD" w:rsidRDefault="009C7F35" w:rsidP="009C7F3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860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C40BD2A" w14:textId="77777777" w:rsidR="009C7F35" w:rsidRDefault="009C7F35" w:rsidP="009C7F3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2AA5B479" w14:textId="77777777" w:rsidR="009C7F35" w:rsidRDefault="009C7F35" w:rsidP="009C7F35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960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1894A36" w14:textId="0AF0A1A2" w:rsidR="000F7A8C" w:rsidRDefault="000F7A8C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4C75772E" w14:textId="5169EEF2" w:rsidR="000F7A8C" w:rsidRDefault="000F7A8C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6800AA28" w14:textId="0915E101" w:rsidR="000F7A8C" w:rsidRDefault="000F7A8C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378A7903" w14:textId="120A493D" w:rsidR="004234B8" w:rsidRDefault="004234B8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2FA872BE" w14:textId="623CE0AF" w:rsidR="005F48A8" w:rsidRDefault="005F48A8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5484762D" w14:textId="77777777" w:rsidR="000556B0" w:rsidRDefault="000556B0" w:rsidP="00040CE9">
      <w:pPr>
        <w:pStyle w:val="Tekstpodstawowy3"/>
        <w:shd w:val="clear" w:color="auto" w:fill="FFFFFF" w:themeFill="background1"/>
        <w:rPr>
          <w:rFonts w:ascii="Calibri" w:hAnsi="Calibri"/>
          <w:color w:val="FFFFFF"/>
          <w:szCs w:val="24"/>
        </w:rPr>
      </w:pPr>
    </w:p>
    <w:p w14:paraId="5D7AB309" w14:textId="34E76350" w:rsidR="001C0E52" w:rsidRPr="00BE5877" w:rsidRDefault="001C0E52" w:rsidP="00A66C24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47333D2E" w14:textId="02A72F5C" w:rsidR="001C0E52" w:rsidRDefault="001C0E52" w:rsidP="004234B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1A17BD">
        <w:rPr>
          <w:rFonts w:ascii="Calibri" w:hAnsi="Calibri"/>
          <w:b/>
          <w:bCs/>
          <w:iCs/>
          <w:sz w:val="18"/>
          <w:szCs w:val="18"/>
        </w:rPr>
        <w:t>Import i zakupy wewnątrzwspólnotowe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297A34EE" w14:textId="0F8FF297" w:rsidR="007D46C5" w:rsidRDefault="007D46C5" w:rsidP="007D46C5">
      <w:pPr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0556B0" w:rsidRPr="000556B0">
        <w:rPr>
          <w:rFonts w:asciiTheme="minorHAnsi" w:hAnsiTheme="minorHAnsi"/>
          <w:sz w:val="18"/>
          <w:szCs w:val="18"/>
        </w:rPr>
        <w:t xml:space="preserve"> </w:t>
      </w:r>
      <w:r w:rsidR="000556B0" w:rsidRPr="00BC0F5C">
        <w:rPr>
          <w:rFonts w:asciiTheme="minorHAnsi" w:hAnsiTheme="minorHAnsi"/>
          <w:sz w:val="18"/>
          <w:szCs w:val="18"/>
        </w:rPr>
        <w:sym w:font="Wingdings" w:char="F0A8"/>
      </w:r>
      <w:r w:rsidR="000556B0">
        <w:rPr>
          <w:rFonts w:asciiTheme="minorHAnsi" w:hAnsiTheme="minorHAnsi"/>
          <w:sz w:val="18"/>
          <w:szCs w:val="18"/>
        </w:rPr>
        <w:t xml:space="preserve"> </w:t>
      </w:r>
      <w:r w:rsidR="000556B0">
        <w:rPr>
          <w:rFonts w:ascii="Calibri" w:hAnsi="Calibri"/>
          <w:b/>
          <w:bCs/>
          <w:sz w:val="18"/>
          <w:szCs w:val="18"/>
        </w:rPr>
        <w:t>stacjonarnie</w:t>
      </w:r>
      <w:r w:rsidR="000556B0" w:rsidRPr="0091017F">
        <w:rPr>
          <w:rFonts w:ascii="Calibri" w:hAnsi="Calibri"/>
          <w:bCs/>
          <w:sz w:val="18"/>
          <w:szCs w:val="18"/>
        </w:rPr>
        <w:t xml:space="preserve"> </w:t>
      </w:r>
      <w:r w:rsidR="000556B0">
        <w:rPr>
          <w:rFonts w:ascii="Calibri" w:hAnsi="Calibri"/>
          <w:bCs/>
          <w:sz w:val="18"/>
          <w:szCs w:val="18"/>
        </w:rPr>
        <w:t>(miasto i termin):</w:t>
      </w:r>
      <w:r w:rsidR="000556B0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04D593D" w14:textId="77777777" w:rsidR="007D46C5" w:rsidRPr="00DB5183" w:rsidRDefault="007D46C5" w:rsidP="004234B8">
      <w:pPr>
        <w:spacing w:before="6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7D46C5" w:rsidRPr="001F3ACF" w14:paraId="26A98819" w14:textId="77777777" w:rsidTr="00573A4A">
        <w:trPr>
          <w:trHeight w:hRule="exact" w:val="340"/>
        </w:trPr>
        <w:tc>
          <w:tcPr>
            <w:tcW w:w="426" w:type="dxa"/>
            <w:vAlign w:val="center"/>
          </w:tcPr>
          <w:p w14:paraId="42655DA4" w14:textId="77777777" w:rsidR="007D46C5" w:rsidRPr="00900431" w:rsidRDefault="007D46C5" w:rsidP="00573A4A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45C6264F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DB87459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8545766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7D46C5" w:rsidRPr="001F3ACF" w14:paraId="77CB472E" w14:textId="77777777" w:rsidTr="00573A4A">
        <w:trPr>
          <w:trHeight w:hRule="exact" w:val="397"/>
        </w:trPr>
        <w:tc>
          <w:tcPr>
            <w:tcW w:w="426" w:type="dxa"/>
          </w:tcPr>
          <w:p w14:paraId="50D6E8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5FAAB92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38EE77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C536E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BC34605" w14:textId="77777777" w:rsidTr="00573A4A">
        <w:trPr>
          <w:trHeight w:hRule="exact" w:val="397"/>
        </w:trPr>
        <w:tc>
          <w:tcPr>
            <w:tcW w:w="426" w:type="dxa"/>
          </w:tcPr>
          <w:p w14:paraId="4C76B4B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0FF6D7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17C67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525F20A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7C794BC" w14:textId="77777777" w:rsidTr="00573A4A">
        <w:trPr>
          <w:trHeight w:hRule="exact" w:val="397"/>
        </w:trPr>
        <w:tc>
          <w:tcPr>
            <w:tcW w:w="426" w:type="dxa"/>
          </w:tcPr>
          <w:p w14:paraId="6D62063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495EC2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691BBEE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FE38DE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34B8" w:rsidRPr="001F3ACF" w14:paraId="1D6E34DC" w14:textId="77777777" w:rsidTr="00573A4A">
        <w:trPr>
          <w:trHeight w:hRule="exact" w:val="397"/>
        </w:trPr>
        <w:tc>
          <w:tcPr>
            <w:tcW w:w="426" w:type="dxa"/>
          </w:tcPr>
          <w:p w14:paraId="6DC87578" w14:textId="06F462BD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3E4F6E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84E68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30B23EE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1EA1C498" w14:textId="77777777" w:rsidR="007D46C5" w:rsidRDefault="007D46C5" w:rsidP="007D46C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3EFFBBF5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3DA7D71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0B5748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E20291D" w14:textId="77777777" w:rsidR="007D46C5" w:rsidRDefault="007D46C5" w:rsidP="007D46C5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2D63412" w14:textId="77777777" w:rsidR="007D46C5" w:rsidRPr="00272ADA" w:rsidRDefault="007D46C5" w:rsidP="007D46C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E987E2A" w14:textId="77777777" w:rsidR="007D46C5" w:rsidRPr="00BC0F5C" w:rsidRDefault="007D46C5" w:rsidP="004234B8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4B2CF31D" w14:textId="77777777" w:rsidR="007D46C5" w:rsidRPr="00ED6802" w:rsidRDefault="007D46C5" w:rsidP="007D46C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67781EB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BFDACF" w14:textId="77777777" w:rsidR="007D46C5" w:rsidRPr="00BC0F5C" w:rsidRDefault="007D46C5" w:rsidP="007D46C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839E0C9" w14:textId="77777777" w:rsidR="007D46C5" w:rsidRPr="00BC0F5C" w:rsidRDefault="007D46C5" w:rsidP="007D46C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F715198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9540524" w14:textId="77777777" w:rsidR="007D46C5" w:rsidRPr="00ED6802" w:rsidRDefault="007D46C5" w:rsidP="007D46C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7561684" w14:textId="42170DF1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9C6A9F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9C6A9F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CAA70AA" w14:textId="77777777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1B0F1C5" w14:textId="77777777" w:rsidR="007D46C5" w:rsidRPr="004B6EA5" w:rsidRDefault="007D46C5" w:rsidP="007D46C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C37B508" w14:textId="77777777" w:rsidR="007D46C5" w:rsidRPr="00321B20" w:rsidRDefault="007D46C5" w:rsidP="007D46C5">
      <w:pPr>
        <w:rPr>
          <w:rFonts w:asciiTheme="minorHAnsi" w:hAnsiTheme="minorHAnsi"/>
          <w:sz w:val="8"/>
          <w:szCs w:val="8"/>
        </w:rPr>
      </w:pPr>
    </w:p>
    <w:p w14:paraId="0EE5763C" w14:textId="77777777" w:rsidR="009C6A9F" w:rsidRDefault="009C6A9F" w:rsidP="009C6A9F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B9A5C55" w14:textId="13F5975E" w:rsidR="007D46C5" w:rsidRDefault="009C6A9F" w:rsidP="009C6A9F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7D46C5" w:rsidRPr="004B6EA5">
        <w:rPr>
          <w:rFonts w:asciiTheme="minorHAnsi" w:hAnsiTheme="minorHAnsi"/>
          <w:sz w:val="15"/>
          <w:szCs w:val="15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</w:r>
      <w:r w:rsidR="007D46C5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BD50C16" w14:textId="77777777" w:rsidR="007D46C5" w:rsidRPr="00DB5183" w:rsidRDefault="007D46C5" w:rsidP="007D46C5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E95AB75" w14:textId="115BFE83" w:rsidR="007D46C5" w:rsidRPr="007F3FBA" w:rsidRDefault="007D46C5" w:rsidP="007F3FBA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46C5" w:rsidRPr="007F3FBA" w:rsidSect="00A83D91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ABC28" w14:textId="77777777" w:rsidR="001824FD" w:rsidRDefault="001824FD">
      <w:r>
        <w:separator/>
      </w:r>
    </w:p>
  </w:endnote>
  <w:endnote w:type="continuationSeparator" w:id="0">
    <w:p w14:paraId="6958200C" w14:textId="77777777" w:rsidR="001824FD" w:rsidRDefault="0018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C139" w14:textId="77777777" w:rsidR="00C66560" w:rsidRDefault="005C3A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65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FBA644" w14:textId="77777777" w:rsidR="00C66560" w:rsidRDefault="00C66560">
    <w:pPr>
      <w:pStyle w:val="Stopka"/>
      <w:ind w:right="360"/>
    </w:pPr>
  </w:p>
  <w:p w14:paraId="2CD446A8" w14:textId="77777777" w:rsidR="002D15CC" w:rsidRDefault="002D15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4E38" w14:textId="77777777" w:rsidR="00C66560" w:rsidRDefault="00C66560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C1A6C4" w14:textId="77777777" w:rsidR="00C66560" w:rsidRPr="008F0B3B" w:rsidRDefault="0082184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8F0B3B">
      <w:rPr>
        <w:rFonts w:ascii="Calibri" w:hAnsi="Calibri" w:cs="Tahoma"/>
        <w:sz w:val="16"/>
      </w:rPr>
      <w:t xml:space="preserve"> Warszawa, ul. </w:t>
    </w:r>
    <w:r w:rsidRPr="00835062">
      <w:rPr>
        <w:rFonts w:ascii="Calibri" w:hAnsi="Calibri" w:cs="Tahoma"/>
        <w:sz w:val="16"/>
      </w:rPr>
      <w:t>A. Locciego 26</w:t>
    </w:r>
    <w:r w:rsidR="008F0B3B" w:rsidRPr="00835062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4C2780BF" w14:textId="77777777" w:rsidR="00C66560" w:rsidRDefault="00C66560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F7D55" w14:textId="77777777" w:rsidR="001824FD" w:rsidRDefault="001824FD">
      <w:r>
        <w:separator/>
      </w:r>
    </w:p>
  </w:footnote>
  <w:footnote w:type="continuationSeparator" w:id="0">
    <w:p w14:paraId="0C585652" w14:textId="77777777" w:rsidR="001824FD" w:rsidRDefault="0018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7D3C" w14:textId="616A935C" w:rsidR="002D15CC" w:rsidRDefault="00BE5877" w:rsidP="005C72B0">
    <w:pPr>
      <w:pStyle w:val="Nagwek"/>
      <w:pBdr>
        <w:bottom w:val="single" w:sz="4" w:space="1" w:color="auto"/>
      </w:pBdr>
      <w:tabs>
        <w:tab w:val="clear" w:pos="4536"/>
        <w:tab w:val="clear" w:pos="9072"/>
      </w:tabs>
      <w:contextualSpacing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25C8" wp14:editId="3EEB3C06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1A1F" w14:textId="77777777" w:rsidR="00C66560" w:rsidRDefault="00C66560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4352FB4B" w14:textId="37B60F9F" w:rsidR="00C66560" w:rsidRDefault="00944954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5C48F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213FC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C6656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A25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380C1A1F" w14:textId="77777777" w:rsidR="00C66560" w:rsidRDefault="00C66560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4352FB4B" w14:textId="37B60F9F" w:rsidR="00C66560" w:rsidRDefault="00944954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5C48F7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213FCF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C66560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66560">
      <w:tab/>
    </w:r>
    <w:r w:rsidR="00C66560">
      <w:object w:dxaOrig="1850" w:dyaOrig="810" w14:anchorId="7608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0.5pt" o:ole="">
          <v:imagedata r:id="rId1" o:title=""/>
        </v:shape>
        <o:OLEObject Type="Embed" ProgID="CorelDRAW.Graphic.10" ShapeID="_x0000_i1025" DrawAspect="Content" ObjectID="_1716021205" r:id="rId2"/>
      </w:object>
    </w:r>
    <w:r w:rsidR="00C66560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F83"/>
    <w:multiLevelType w:val="hybridMultilevel"/>
    <w:tmpl w:val="B396090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8CE"/>
    <w:multiLevelType w:val="hybridMultilevel"/>
    <w:tmpl w:val="713C9BC8"/>
    <w:lvl w:ilvl="0" w:tplc="CAD02D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0098"/>
    <w:multiLevelType w:val="hybridMultilevel"/>
    <w:tmpl w:val="E1BEB64E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5377A"/>
    <w:multiLevelType w:val="hybridMultilevel"/>
    <w:tmpl w:val="E9D2B858"/>
    <w:lvl w:ilvl="0" w:tplc="CAD02D56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E76528"/>
    <w:multiLevelType w:val="hybridMultilevel"/>
    <w:tmpl w:val="D70EE6C0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30347"/>
    <w:multiLevelType w:val="hybridMultilevel"/>
    <w:tmpl w:val="65B8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650B"/>
    <w:multiLevelType w:val="hybridMultilevel"/>
    <w:tmpl w:val="40EC256C"/>
    <w:lvl w:ilvl="0" w:tplc="0C0C9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02E7B"/>
    <w:rsid w:val="00007D86"/>
    <w:rsid w:val="00014BB1"/>
    <w:rsid w:val="00016197"/>
    <w:rsid w:val="00024A03"/>
    <w:rsid w:val="00032312"/>
    <w:rsid w:val="00040CE9"/>
    <w:rsid w:val="000556B0"/>
    <w:rsid w:val="00066F17"/>
    <w:rsid w:val="0006712F"/>
    <w:rsid w:val="00070604"/>
    <w:rsid w:val="00077BB5"/>
    <w:rsid w:val="00086C8D"/>
    <w:rsid w:val="00091854"/>
    <w:rsid w:val="00095408"/>
    <w:rsid w:val="00096333"/>
    <w:rsid w:val="0009799D"/>
    <w:rsid w:val="000A220D"/>
    <w:rsid w:val="000B698D"/>
    <w:rsid w:val="000C06D4"/>
    <w:rsid w:val="000C3B6F"/>
    <w:rsid w:val="000D5818"/>
    <w:rsid w:val="000D6FF6"/>
    <w:rsid w:val="000D7DE5"/>
    <w:rsid w:val="000E774B"/>
    <w:rsid w:val="000E7DB3"/>
    <w:rsid w:val="000F0E80"/>
    <w:rsid w:val="000F7A8C"/>
    <w:rsid w:val="00102087"/>
    <w:rsid w:val="00102E7B"/>
    <w:rsid w:val="00104C93"/>
    <w:rsid w:val="00106873"/>
    <w:rsid w:val="001115BF"/>
    <w:rsid w:val="00114923"/>
    <w:rsid w:val="001158FE"/>
    <w:rsid w:val="00130D91"/>
    <w:rsid w:val="00130F9D"/>
    <w:rsid w:val="00132781"/>
    <w:rsid w:val="001333CB"/>
    <w:rsid w:val="00137929"/>
    <w:rsid w:val="00150A08"/>
    <w:rsid w:val="00161867"/>
    <w:rsid w:val="0016678C"/>
    <w:rsid w:val="001712F4"/>
    <w:rsid w:val="00174E46"/>
    <w:rsid w:val="001817E9"/>
    <w:rsid w:val="001824FD"/>
    <w:rsid w:val="00183516"/>
    <w:rsid w:val="001835E9"/>
    <w:rsid w:val="00186BD4"/>
    <w:rsid w:val="0019495E"/>
    <w:rsid w:val="0019500D"/>
    <w:rsid w:val="00195FEF"/>
    <w:rsid w:val="001A17BD"/>
    <w:rsid w:val="001A2DAF"/>
    <w:rsid w:val="001B2D35"/>
    <w:rsid w:val="001B60D2"/>
    <w:rsid w:val="001B710F"/>
    <w:rsid w:val="001C0E52"/>
    <w:rsid w:val="001C77B1"/>
    <w:rsid w:val="001D2609"/>
    <w:rsid w:val="001E122F"/>
    <w:rsid w:val="001E5CF2"/>
    <w:rsid w:val="002042D4"/>
    <w:rsid w:val="00212D87"/>
    <w:rsid w:val="00213219"/>
    <w:rsid w:val="00213FCF"/>
    <w:rsid w:val="00214BE6"/>
    <w:rsid w:val="00215790"/>
    <w:rsid w:val="00217431"/>
    <w:rsid w:val="002203C6"/>
    <w:rsid w:val="00221A18"/>
    <w:rsid w:val="00222672"/>
    <w:rsid w:val="002233C3"/>
    <w:rsid w:val="002237F4"/>
    <w:rsid w:val="00223FE3"/>
    <w:rsid w:val="002255E8"/>
    <w:rsid w:val="00227211"/>
    <w:rsid w:val="00230701"/>
    <w:rsid w:val="00235B32"/>
    <w:rsid w:val="0026070E"/>
    <w:rsid w:val="00264164"/>
    <w:rsid w:val="0026573D"/>
    <w:rsid w:val="002733E9"/>
    <w:rsid w:val="002738EB"/>
    <w:rsid w:val="00274A3C"/>
    <w:rsid w:val="002770E4"/>
    <w:rsid w:val="00280CDA"/>
    <w:rsid w:val="00285951"/>
    <w:rsid w:val="00286055"/>
    <w:rsid w:val="0029670F"/>
    <w:rsid w:val="002A4B36"/>
    <w:rsid w:val="002A5DBB"/>
    <w:rsid w:val="002B3691"/>
    <w:rsid w:val="002B64CB"/>
    <w:rsid w:val="002C22D6"/>
    <w:rsid w:val="002D15CC"/>
    <w:rsid w:val="002E2854"/>
    <w:rsid w:val="002F19B9"/>
    <w:rsid w:val="002F40F5"/>
    <w:rsid w:val="0031685C"/>
    <w:rsid w:val="003224C4"/>
    <w:rsid w:val="0032381D"/>
    <w:rsid w:val="00323A74"/>
    <w:rsid w:val="00326D5B"/>
    <w:rsid w:val="00332749"/>
    <w:rsid w:val="003372D6"/>
    <w:rsid w:val="00343071"/>
    <w:rsid w:val="0035057E"/>
    <w:rsid w:val="00351C85"/>
    <w:rsid w:val="003649DF"/>
    <w:rsid w:val="00376940"/>
    <w:rsid w:val="003851A7"/>
    <w:rsid w:val="003877F3"/>
    <w:rsid w:val="003878C0"/>
    <w:rsid w:val="00390551"/>
    <w:rsid w:val="003907A1"/>
    <w:rsid w:val="0039285E"/>
    <w:rsid w:val="00393003"/>
    <w:rsid w:val="003B0622"/>
    <w:rsid w:val="003B0754"/>
    <w:rsid w:val="003B13BE"/>
    <w:rsid w:val="003B3208"/>
    <w:rsid w:val="003B588B"/>
    <w:rsid w:val="003B62D7"/>
    <w:rsid w:val="003C275E"/>
    <w:rsid w:val="003D2795"/>
    <w:rsid w:val="003E44E8"/>
    <w:rsid w:val="003E754A"/>
    <w:rsid w:val="003F3031"/>
    <w:rsid w:val="003F303D"/>
    <w:rsid w:val="003F32A8"/>
    <w:rsid w:val="003F52AB"/>
    <w:rsid w:val="003F643D"/>
    <w:rsid w:val="00401C03"/>
    <w:rsid w:val="00413152"/>
    <w:rsid w:val="004161E2"/>
    <w:rsid w:val="004234B8"/>
    <w:rsid w:val="004261C3"/>
    <w:rsid w:val="004400D8"/>
    <w:rsid w:val="004429A1"/>
    <w:rsid w:val="004502CA"/>
    <w:rsid w:val="00450C93"/>
    <w:rsid w:val="00454CEA"/>
    <w:rsid w:val="00455CB9"/>
    <w:rsid w:val="004605A5"/>
    <w:rsid w:val="00463CD2"/>
    <w:rsid w:val="0047040A"/>
    <w:rsid w:val="00477072"/>
    <w:rsid w:val="00482C8E"/>
    <w:rsid w:val="00482E7A"/>
    <w:rsid w:val="00484B1D"/>
    <w:rsid w:val="00486C15"/>
    <w:rsid w:val="0048707F"/>
    <w:rsid w:val="00491389"/>
    <w:rsid w:val="0049160D"/>
    <w:rsid w:val="00492454"/>
    <w:rsid w:val="00493563"/>
    <w:rsid w:val="00494922"/>
    <w:rsid w:val="004952E5"/>
    <w:rsid w:val="004A207D"/>
    <w:rsid w:val="004A56AC"/>
    <w:rsid w:val="004A5DAE"/>
    <w:rsid w:val="004A66CF"/>
    <w:rsid w:val="004B380D"/>
    <w:rsid w:val="004B4F6A"/>
    <w:rsid w:val="004C0316"/>
    <w:rsid w:val="004C4D53"/>
    <w:rsid w:val="004C6581"/>
    <w:rsid w:val="004D0807"/>
    <w:rsid w:val="004D0BAD"/>
    <w:rsid w:val="004D13DB"/>
    <w:rsid w:val="004E3384"/>
    <w:rsid w:val="004E55AC"/>
    <w:rsid w:val="004F5FFE"/>
    <w:rsid w:val="004F7F27"/>
    <w:rsid w:val="005014A1"/>
    <w:rsid w:val="00503A38"/>
    <w:rsid w:val="005045DA"/>
    <w:rsid w:val="00504D44"/>
    <w:rsid w:val="00507D2D"/>
    <w:rsid w:val="00512206"/>
    <w:rsid w:val="00520B9D"/>
    <w:rsid w:val="00533272"/>
    <w:rsid w:val="00535559"/>
    <w:rsid w:val="0053753F"/>
    <w:rsid w:val="0055711E"/>
    <w:rsid w:val="005572EF"/>
    <w:rsid w:val="005579D6"/>
    <w:rsid w:val="00562835"/>
    <w:rsid w:val="00562D67"/>
    <w:rsid w:val="005722C3"/>
    <w:rsid w:val="00584EDA"/>
    <w:rsid w:val="00590D16"/>
    <w:rsid w:val="00591FF2"/>
    <w:rsid w:val="00593239"/>
    <w:rsid w:val="005B1251"/>
    <w:rsid w:val="005C1911"/>
    <w:rsid w:val="005C3875"/>
    <w:rsid w:val="005C3A77"/>
    <w:rsid w:val="005C48F7"/>
    <w:rsid w:val="005C6989"/>
    <w:rsid w:val="005C72B0"/>
    <w:rsid w:val="005D3EDE"/>
    <w:rsid w:val="005D4F3E"/>
    <w:rsid w:val="005D627F"/>
    <w:rsid w:val="005E0B34"/>
    <w:rsid w:val="005E2C71"/>
    <w:rsid w:val="005E631F"/>
    <w:rsid w:val="005F35E6"/>
    <w:rsid w:val="005F48A8"/>
    <w:rsid w:val="005F63AF"/>
    <w:rsid w:val="00603438"/>
    <w:rsid w:val="00603DB1"/>
    <w:rsid w:val="00613C94"/>
    <w:rsid w:val="00620BA3"/>
    <w:rsid w:val="00623A9F"/>
    <w:rsid w:val="006241EE"/>
    <w:rsid w:val="006366AA"/>
    <w:rsid w:val="00641653"/>
    <w:rsid w:val="00644165"/>
    <w:rsid w:val="00644AEF"/>
    <w:rsid w:val="00651AEF"/>
    <w:rsid w:val="00657E1B"/>
    <w:rsid w:val="00660BE0"/>
    <w:rsid w:val="006663FA"/>
    <w:rsid w:val="00672F03"/>
    <w:rsid w:val="00682C69"/>
    <w:rsid w:val="00684CE5"/>
    <w:rsid w:val="00691EEE"/>
    <w:rsid w:val="00693631"/>
    <w:rsid w:val="0069731C"/>
    <w:rsid w:val="006A1C1C"/>
    <w:rsid w:val="006C4953"/>
    <w:rsid w:val="006D4C97"/>
    <w:rsid w:val="006D662A"/>
    <w:rsid w:val="006D6676"/>
    <w:rsid w:val="006F3005"/>
    <w:rsid w:val="006F325A"/>
    <w:rsid w:val="006F32A1"/>
    <w:rsid w:val="006F4340"/>
    <w:rsid w:val="00700E5B"/>
    <w:rsid w:val="00707D8A"/>
    <w:rsid w:val="00715E0A"/>
    <w:rsid w:val="007205C5"/>
    <w:rsid w:val="007232BD"/>
    <w:rsid w:val="00723D83"/>
    <w:rsid w:val="007258CF"/>
    <w:rsid w:val="00727D47"/>
    <w:rsid w:val="00731957"/>
    <w:rsid w:val="0073229C"/>
    <w:rsid w:val="00733757"/>
    <w:rsid w:val="007339E3"/>
    <w:rsid w:val="007362F9"/>
    <w:rsid w:val="00741A95"/>
    <w:rsid w:val="007519B0"/>
    <w:rsid w:val="00760604"/>
    <w:rsid w:val="0076223C"/>
    <w:rsid w:val="00763086"/>
    <w:rsid w:val="00764229"/>
    <w:rsid w:val="00772F4F"/>
    <w:rsid w:val="0077584B"/>
    <w:rsid w:val="007764C2"/>
    <w:rsid w:val="00777F3B"/>
    <w:rsid w:val="00796CE7"/>
    <w:rsid w:val="00796FE9"/>
    <w:rsid w:val="007A0415"/>
    <w:rsid w:val="007A2D65"/>
    <w:rsid w:val="007A2FFD"/>
    <w:rsid w:val="007A3E38"/>
    <w:rsid w:val="007B1BC6"/>
    <w:rsid w:val="007C150F"/>
    <w:rsid w:val="007C174B"/>
    <w:rsid w:val="007C21F2"/>
    <w:rsid w:val="007C4ED4"/>
    <w:rsid w:val="007C4F48"/>
    <w:rsid w:val="007C58A6"/>
    <w:rsid w:val="007C656C"/>
    <w:rsid w:val="007D46C5"/>
    <w:rsid w:val="007D5256"/>
    <w:rsid w:val="007D5C5B"/>
    <w:rsid w:val="007F3FBA"/>
    <w:rsid w:val="007F56CE"/>
    <w:rsid w:val="007F5B8D"/>
    <w:rsid w:val="007F7EE8"/>
    <w:rsid w:val="00800A0F"/>
    <w:rsid w:val="00802877"/>
    <w:rsid w:val="00804CA9"/>
    <w:rsid w:val="0080557C"/>
    <w:rsid w:val="00806842"/>
    <w:rsid w:val="00807E49"/>
    <w:rsid w:val="00811C8D"/>
    <w:rsid w:val="00814B60"/>
    <w:rsid w:val="00817D4B"/>
    <w:rsid w:val="00820AAD"/>
    <w:rsid w:val="0082139A"/>
    <w:rsid w:val="00821847"/>
    <w:rsid w:val="00822BFC"/>
    <w:rsid w:val="0083036B"/>
    <w:rsid w:val="008333F6"/>
    <w:rsid w:val="00835062"/>
    <w:rsid w:val="00845838"/>
    <w:rsid w:val="00853883"/>
    <w:rsid w:val="00855B2B"/>
    <w:rsid w:val="00857434"/>
    <w:rsid w:val="008650DF"/>
    <w:rsid w:val="0087515C"/>
    <w:rsid w:val="0088010D"/>
    <w:rsid w:val="00883D72"/>
    <w:rsid w:val="0088468C"/>
    <w:rsid w:val="00897CC2"/>
    <w:rsid w:val="008B02CE"/>
    <w:rsid w:val="008B57DC"/>
    <w:rsid w:val="008B58DD"/>
    <w:rsid w:val="008C4C54"/>
    <w:rsid w:val="008C6A45"/>
    <w:rsid w:val="008D668C"/>
    <w:rsid w:val="008E2773"/>
    <w:rsid w:val="008F0B3B"/>
    <w:rsid w:val="009037CC"/>
    <w:rsid w:val="00904657"/>
    <w:rsid w:val="00904803"/>
    <w:rsid w:val="00910D8D"/>
    <w:rsid w:val="00910FB1"/>
    <w:rsid w:val="00912A57"/>
    <w:rsid w:val="0092761B"/>
    <w:rsid w:val="0093432A"/>
    <w:rsid w:val="00935D93"/>
    <w:rsid w:val="009379E3"/>
    <w:rsid w:val="0094462A"/>
    <w:rsid w:val="00944954"/>
    <w:rsid w:val="00950E16"/>
    <w:rsid w:val="0095430C"/>
    <w:rsid w:val="0095453C"/>
    <w:rsid w:val="009556C7"/>
    <w:rsid w:val="00962C72"/>
    <w:rsid w:val="00967160"/>
    <w:rsid w:val="00974D9B"/>
    <w:rsid w:val="00977904"/>
    <w:rsid w:val="0098751C"/>
    <w:rsid w:val="00996E18"/>
    <w:rsid w:val="009A3434"/>
    <w:rsid w:val="009A63FE"/>
    <w:rsid w:val="009C6A9F"/>
    <w:rsid w:val="009C7F35"/>
    <w:rsid w:val="009D0A33"/>
    <w:rsid w:val="009D26F4"/>
    <w:rsid w:val="009D6E53"/>
    <w:rsid w:val="009F1754"/>
    <w:rsid w:val="009F391D"/>
    <w:rsid w:val="00A02DED"/>
    <w:rsid w:val="00A04755"/>
    <w:rsid w:val="00A04923"/>
    <w:rsid w:val="00A11A96"/>
    <w:rsid w:val="00A163AB"/>
    <w:rsid w:val="00A17BAF"/>
    <w:rsid w:val="00A2306C"/>
    <w:rsid w:val="00A23E1C"/>
    <w:rsid w:val="00A42DCB"/>
    <w:rsid w:val="00A46771"/>
    <w:rsid w:val="00A52BDD"/>
    <w:rsid w:val="00A5668E"/>
    <w:rsid w:val="00A66C24"/>
    <w:rsid w:val="00A814F1"/>
    <w:rsid w:val="00A83D91"/>
    <w:rsid w:val="00A8426C"/>
    <w:rsid w:val="00A856B1"/>
    <w:rsid w:val="00A90963"/>
    <w:rsid w:val="00AA4B89"/>
    <w:rsid w:val="00AA511A"/>
    <w:rsid w:val="00AB1703"/>
    <w:rsid w:val="00AB6019"/>
    <w:rsid w:val="00AC5018"/>
    <w:rsid w:val="00AC5ADE"/>
    <w:rsid w:val="00AD063B"/>
    <w:rsid w:val="00AD1D35"/>
    <w:rsid w:val="00AE00A4"/>
    <w:rsid w:val="00AE2D40"/>
    <w:rsid w:val="00AE5219"/>
    <w:rsid w:val="00AE7BE8"/>
    <w:rsid w:val="00AF2204"/>
    <w:rsid w:val="00B0129B"/>
    <w:rsid w:val="00B2049F"/>
    <w:rsid w:val="00B22088"/>
    <w:rsid w:val="00B24FE0"/>
    <w:rsid w:val="00B2704B"/>
    <w:rsid w:val="00B35F19"/>
    <w:rsid w:val="00B43ECB"/>
    <w:rsid w:val="00B56D28"/>
    <w:rsid w:val="00B6196D"/>
    <w:rsid w:val="00B61FC1"/>
    <w:rsid w:val="00B62B12"/>
    <w:rsid w:val="00B72858"/>
    <w:rsid w:val="00B75ABC"/>
    <w:rsid w:val="00B812D3"/>
    <w:rsid w:val="00B822A8"/>
    <w:rsid w:val="00B8275F"/>
    <w:rsid w:val="00B840E9"/>
    <w:rsid w:val="00B86399"/>
    <w:rsid w:val="00B94766"/>
    <w:rsid w:val="00B94EFF"/>
    <w:rsid w:val="00BA14CF"/>
    <w:rsid w:val="00BA24E2"/>
    <w:rsid w:val="00BA3091"/>
    <w:rsid w:val="00BA7C70"/>
    <w:rsid w:val="00BB029C"/>
    <w:rsid w:val="00BB0513"/>
    <w:rsid w:val="00BB6DB5"/>
    <w:rsid w:val="00BC209E"/>
    <w:rsid w:val="00BC41EE"/>
    <w:rsid w:val="00BC5437"/>
    <w:rsid w:val="00BD2537"/>
    <w:rsid w:val="00BD35ED"/>
    <w:rsid w:val="00BD37F8"/>
    <w:rsid w:val="00BD431B"/>
    <w:rsid w:val="00BE5877"/>
    <w:rsid w:val="00BF08FE"/>
    <w:rsid w:val="00BF562A"/>
    <w:rsid w:val="00BF7144"/>
    <w:rsid w:val="00C048CF"/>
    <w:rsid w:val="00C076F5"/>
    <w:rsid w:val="00C12EFA"/>
    <w:rsid w:val="00C136B1"/>
    <w:rsid w:val="00C2411B"/>
    <w:rsid w:val="00C24554"/>
    <w:rsid w:val="00C2586E"/>
    <w:rsid w:val="00C2709D"/>
    <w:rsid w:val="00C3260E"/>
    <w:rsid w:val="00C33D9C"/>
    <w:rsid w:val="00C35592"/>
    <w:rsid w:val="00C3633C"/>
    <w:rsid w:val="00C373AB"/>
    <w:rsid w:val="00C403B6"/>
    <w:rsid w:val="00C41A2A"/>
    <w:rsid w:val="00C42B5B"/>
    <w:rsid w:val="00C45128"/>
    <w:rsid w:val="00C4592D"/>
    <w:rsid w:val="00C61FF8"/>
    <w:rsid w:val="00C6244D"/>
    <w:rsid w:val="00C629EF"/>
    <w:rsid w:val="00C66560"/>
    <w:rsid w:val="00C80EEB"/>
    <w:rsid w:val="00C93532"/>
    <w:rsid w:val="00CA288E"/>
    <w:rsid w:val="00CB0D56"/>
    <w:rsid w:val="00CB110D"/>
    <w:rsid w:val="00CB79A5"/>
    <w:rsid w:val="00CC1067"/>
    <w:rsid w:val="00CC48C3"/>
    <w:rsid w:val="00CC4E27"/>
    <w:rsid w:val="00CC7990"/>
    <w:rsid w:val="00CD0EEA"/>
    <w:rsid w:val="00CD1330"/>
    <w:rsid w:val="00CD2D14"/>
    <w:rsid w:val="00CD36F4"/>
    <w:rsid w:val="00CD3EFF"/>
    <w:rsid w:val="00CE1652"/>
    <w:rsid w:val="00CF2572"/>
    <w:rsid w:val="00D07AF2"/>
    <w:rsid w:val="00D10991"/>
    <w:rsid w:val="00D16AC8"/>
    <w:rsid w:val="00D2149E"/>
    <w:rsid w:val="00D26E26"/>
    <w:rsid w:val="00D332BB"/>
    <w:rsid w:val="00D3331F"/>
    <w:rsid w:val="00D354A6"/>
    <w:rsid w:val="00D37016"/>
    <w:rsid w:val="00D42ED3"/>
    <w:rsid w:val="00D44542"/>
    <w:rsid w:val="00D44DE9"/>
    <w:rsid w:val="00D45642"/>
    <w:rsid w:val="00D55321"/>
    <w:rsid w:val="00D61654"/>
    <w:rsid w:val="00D61685"/>
    <w:rsid w:val="00D617A8"/>
    <w:rsid w:val="00D650C3"/>
    <w:rsid w:val="00D678A4"/>
    <w:rsid w:val="00D70A1E"/>
    <w:rsid w:val="00D726A5"/>
    <w:rsid w:val="00D73E30"/>
    <w:rsid w:val="00D74993"/>
    <w:rsid w:val="00D85BFB"/>
    <w:rsid w:val="00D90A4A"/>
    <w:rsid w:val="00D9110A"/>
    <w:rsid w:val="00DA1C78"/>
    <w:rsid w:val="00DB2934"/>
    <w:rsid w:val="00DB362A"/>
    <w:rsid w:val="00DC0C2A"/>
    <w:rsid w:val="00DC33FD"/>
    <w:rsid w:val="00DC3C26"/>
    <w:rsid w:val="00DC7176"/>
    <w:rsid w:val="00DD1E3F"/>
    <w:rsid w:val="00DD7E2D"/>
    <w:rsid w:val="00DE261C"/>
    <w:rsid w:val="00DE6427"/>
    <w:rsid w:val="00DE6B07"/>
    <w:rsid w:val="00DE72B8"/>
    <w:rsid w:val="00DF0DEC"/>
    <w:rsid w:val="00DF20F1"/>
    <w:rsid w:val="00DF48B9"/>
    <w:rsid w:val="00DF727E"/>
    <w:rsid w:val="00E06F7D"/>
    <w:rsid w:val="00E06F80"/>
    <w:rsid w:val="00E079B1"/>
    <w:rsid w:val="00E1289F"/>
    <w:rsid w:val="00E1337F"/>
    <w:rsid w:val="00E149DB"/>
    <w:rsid w:val="00E14A6C"/>
    <w:rsid w:val="00E163F1"/>
    <w:rsid w:val="00E174E9"/>
    <w:rsid w:val="00E21949"/>
    <w:rsid w:val="00E23547"/>
    <w:rsid w:val="00E26DD2"/>
    <w:rsid w:val="00E26E4C"/>
    <w:rsid w:val="00E2717E"/>
    <w:rsid w:val="00E35B06"/>
    <w:rsid w:val="00E43FAF"/>
    <w:rsid w:val="00E463BA"/>
    <w:rsid w:val="00E46666"/>
    <w:rsid w:val="00E477A7"/>
    <w:rsid w:val="00E55E5D"/>
    <w:rsid w:val="00E56858"/>
    <w:rsid w:val="00E6238D"/>
    <w:rsid w:val="00E627FA"/>
    <w:rsid w:val="00E62B76"/>
    <w:rsid w:val="00E650F1"/>
    <w:rsid w:val="00E656FC"/>
    <w:rsid w:val="00E6736C"/>
    <w:rsid w:val="00E707B7"/>
    <w:rsid w:val="00E71A1C"/>
    <w:rsid w:val="00E73CAB"/>
    <w:rsid w:val="00E74230"/>
    <w:rsid w:val="00E77266"/>
    <w:rsid w:val="00E83649"/>
    <w:rsid w:val="00E85BBC"/>
    <w:rsid w:val="00E87545"/>
    <w:rsid w:val="00E9480C"/>
    <w:rsid w:val="00EA135D"/>
    <w:rsid w:val="00EA1B4D"/>
    <w:rsid w:val="00EA541C"/>
    <w:rsid w:val="00EA7687"/>
    <w:rsid w:val="00EB1706"/>
    <w:rsid w:val="00EB389B"/>
    <w:rsid w:val="00EB56E3"/>
    <w:rsid w:val="00EB585C"/>
    <w:rsid w:val="00EB7D2B"/>
    <w:rsid w:val="00EC226B"/>
    <w:rsid w:val="00ED5708"/>
    <w:rsid w:val="00EE2A5A"/>
    <w:rsid w:val="00EE525D"/>
    <w:rsid w:val="00EE6978"/>
    <w:rsid w:val="00EE7B2C"/>
    <w:rsid w:val="00EF7372"/>
    <w:rsid w:val="00F00702"/>
    <w:rsid w:val="00F0112C"/>
    <w:rsid w:val="00F024BF"/>
    <w:rsid w:val="00F0276C"/>
    <w:rsid w:val="00F1720E"/>
    <w:rsid w:val="00F17FBE"/>
    <w:rsid w:val="00F20A11"/>
    <w:rsid w:val="00F21006"/>
    <w:rsid w:val="00F319FD"/>
    <w:rsid w:val="00F4076E"/>
    <w:rsid w:val="00F41F51"/>
    <w:rsid w:val="00F53DDA"/>
    <w:rsid w:val="00F64E80"/>
    <w:rsid w:val="00F659BD"/>
    <w:rsid w:val="00F728C0"/>
    <w:rsid w:val="00F73306"/>
    <w:rsid w:val="00F7720C"/>
    <w:rsid w:val="00F8204A"/>
    <w:rsid w:val="00F8409A"/>
    <w:rsid w:val="00F86C26"/>
    <w:rsid w:val="00F960E5"/>
    <w:rsid w:val="00F9678F"/>
    <w:rsid w:val="00FA33F5"/>
    <w:rsid w:val="00FA7955"/>
    <w:rsid w:val="00FB2ED6"/>
    <w:rsid w:val="00FB43AF"/>
    <w:rsid w:val="00FD10F4"/>
    <w:rsid w:val="00FD1A23"/>
    <w:rsid w:val="00FD1ACD"/>
    <w:rsid w:val="00FD342F"/>
    <w:rsid w:val="00FD42CF"/>
    <w:rsid w:val="00FD7BC6"/>
    <w:rsid w:val="00FE1882"/>
    <w:rsid w:val="00FF1BC5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F051C"/>
  <w15:docId w15:val="{FB1E00F6-E78F-49B5-A7F3-069823C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DDA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F53DD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53DDA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53DDA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F53DDA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F53DDA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53DDA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DA"/>
    <w:rPr>
      <w:sz w:val="22"/>
      <w:szCs w:val="20"/>
    </w:rPr>
  </w:style>
  <w:style w:type="paragraph" w:styleId="Tekstpodstawowy3">
    <w:name w:val="Body Text 3"/>
    <w:basedOn w:val="Normalny"/>
    <w:rsid w:val="00F53DDA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F53D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3D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3DDA"/>
  </w:style>
  <w:style w:type="paragraph" w:styleId="Lista">
    <w:name w:val="List"/>
    <w:basedOn w:val="Normalny"/>
    <w:rsid w:val="00F53DDA"/>
    <w:pPr>
      <w:ind w:left="283" w:hanging="283"/>
    </w:pPr>
  </w:style>
  <w:style w:type="paragraph" w:styleId="Lista2">
    <w:name w:val="List 2"/>
    <w:basedOn w:val="Normalny"/>
    <w:rsid w:val="00F53DDA"/>
    <w:pPr>
      <w:ind w:left="566" w:hanging="283"/>
    </w:pPr>
  </w:style>
  <w:style w:type="paragraph" w:styleId="Listapunktowana3">
    <w:name w:val="List Bullet 3"/>
    <w:basedOn w:val="Normalny"/>
    <w:autoRedefine/>
    <w:rsid w:val="00F53DD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F53DDA"/>
    <w:rPr>
      <w:sz w:val="16"/>
    </w:rPr>
  </w:style>
  <w:style w:type="paragraph" w:styleId="Legenda">
    <w:name w:val="caption"/>
    <w:basedOn w:val="Normalny"/>
    <w:next w:val="Normalny"/>
    <w:qFormat/>
    <w:rsid w:val="00F53DDA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F53DDA"/>
    <w:rPr>
      <w:color w:val="0000FF"/>
      <w:u w:val="single"/>
    </w:rPr>
  </w:style>
  <w:style w:type="character" w:customStyle="1" w:styleId="grame">
    <w:name w:val="grame"/>
    <w:basedOn w:val="Domylnaczcionkaakapitu"/>
    <w:rsid w:val="00F53DDA"/>
  </w:style>
  <w:style w:type="character" w:styleId="UyteHipercze">
    <w:name w:val="FollowedHyperlink"/>
    <w:basedOn w:val="Domylnaczcionkaakapitu"/>
    <w:rsid w:val="00F53DDA"/>
    <w:rPr>
      <w:color w:val="800080"/>
      <w:u w:val="single"/>
    </w:rPr>
  </w:style>
  <w:style w:type="paragraph" w:customStyle="1" w:styleId="Tekstpodstawowy21">
    <w:name w:val="Tekst podstawowy 21"/>
    <w:basedOn w:val="Normalny"/>
    <w:rsid w:val="00F53DDA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F53DDA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F53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F53DD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53DDA"/>
    <w:rPr>
      <w:b/>
      <w:bCs/>
    </w:rPr>
  </w:style>
  <w:style w:type="character" w:customStyle="1" w:styleId="apple-converted-space">
    <w:name w:val="apple-converted-space"/>
    <w:basedOn w:val="Domylnaczcionkaakapitu"/>
    <w:rsid w:val="00F53DDA"/>
  </w:style>
  <w:style w:type="paragraph" w:styleId="Tekstpodstawowywcity">
    <w:name w:val="Body Text Indent"/>
    <w:basedOn w:val="Normalny"/>
    <w:rsid w:val="00F53DDA"/>
    <w:pPr>
      <w:tabs>
        <w:tab w:val="left" w:pos="1477"/>
        <w:tab w:val="left" w:pos="10912"/>
      </w:tabs>
      <w:spacing w:before="120" w:after="120"/>
      <w:ind w:left="-6"/>
      <w:jc w:val="both"/>
    </w:pPr>
    <w:rPr>
      <w:rFonts w:ascii="Calibri" w:hAnsi="Calibri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26D5B"/>
    <w:rPr>
      <w:sz w:val="16"/>
      <w:szCs w:val="24"/>
    </w:rPr>
  </w:style>
  <w:style w:type="character" w:styleId="Odwoaniedokomentarza">
    <w:name w:val="annotation reference"/>
    <w:basedOn w:val="Domylnaczcionkaakapitu"/>
    <w:rsid w:val="004F5F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5F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5FFE"/>
  </w:style>
  <w:style w:type="paragraph" w:styleId="Tematkomentarza">
    <w:name w:val="annotation subject"/>
    <w:basedOn w:val="Tekstkomentarza"/>
    <w:next w:val="Tekstkomentarza"/>
    <w:link w:val="TematkomentarzaZnak"/>
    <w:rsid w:val="004F5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5FFE"/>
    <w:rPr>
      <w:b/>
      <w:bCs/>
    </w:rPr>
  </w:style>
  <w:style w:type="paragraph" w:styleId="Tekstdymka">
    <w:name w:val="Balloon Text"/>
    <w:basedOn w:val="Normalny"/>
    <w:link w:val="TekstdymkaZnak"/>
    <w:rsid w:val="004F5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5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9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83D91"/>
    <w:rPr>
      <w:b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38EB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7D46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3202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AKREDYTYWA_DOKUMENTOWA</vt:lpstr>
    </vt:vector>
  </TitlesOfParts>
  <Company/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IMPORT_I_ZAKUPY_WEWNATRZWSPOLNOTOWE</dc:title>
  <dc:subject/>
  <dc:creator>Majchrowski</dc:creator>
  <cp:keywords/>
  <dc:description/>
  <cp:lastModifiedBy>Jerzy Kośmider</cp:lastModifiedBy>
  <cp:revision>11</cp:revision>
  <cp:lastPrinted>2021-05-06T08:13:00Z</cp:lastPrinted>
  <dcterms:created xsi:type="dcterms:W3CDTF">2021-12-18T15:29:00Z</dcterms:created>
  <dcterms:modified xsi:type="dcterms:W3CDTF">2022-06-06T09:46:00Z</dcterms:modified>
</cp:coreProperties>
</file>