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3" w:type="dxa"/>
        <w:tblBorders>
          <w:bottom w:val="single" w:sz="4" w:space="0" w:color="auto"/>
        </w:tblBorders>
        <w:shd w:val="clear" w:color="auto" w:fill="0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87"/>
      </w:tblGrid>
      <w:tr w:rsidR="00B2049F" w14:paraId="7F45236E" w14:textId="77777777" w:rsidTr="00106873">
        <w:trPr>
          <w:trHeight w:val="484"/>
        </w:trPr>
        <w:tc>
          <w:tcPr>
            <w:tcW w:w="10843" w:type="dxa"/>
            <w:gridSpan w:val="2"/>
            <w:tcBorders>
              <w:bottom w:val="nil"/>
            </w:tcBorders>
            <w:shd w:val="clear" w:color="auto" w:fill="FFC000"/>
          </w:tcPr>
          <w:p w14:paraId="63062EFA" w14:textId="77777777" w:rsidR="00B2049F" w:rsidRPr="00B2049F" w:rsidRDefault="00B2049F" w:rsidP="00A46771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B2049F">
              <w:rPr>
                <w:rFonts w:ascii="Calibri" w:hAnsi="Calibri"/>
                <w:b/>
                <w:bCs/>
                <w:sz w:val="18"/>
                <w:szCs w:val="18"/>
              </w:rPr>
              <w:t>ZAPRASZAMY PAŃSTWA DO</w:t>
            </w:r>
            <w:r w:rsidR="00512206">
              <w:rPr>
                <w:rFonts w:ascii="Calibri" w:hAnsi="Calibri"/>
                <w:b/>
                <w:bCs/>
                <w:sz w:val="18"/>
                <w:szCs w:val="18"/>
              </w:rPr>
              <w:t xml:space="preserve"> UCZESTNICTWA W SZKOLENIU</w:t>
            </w:r>
            <w:r w:rsidRPr="00B2049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Pr="00B2049F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 </w:t>
            </w:r>
          </w:p>
        </w:tc>
      </w:tr>
      <w:tr w:rsidR="00B2049F" w14:paraId="2577C8A1" w14:textId="77777777" w:rsidTr="001333CB">
        <w:trPr>
          <w:trHeight w:val="1482"/>
        </w:trPr>
        <w:tc>
          <w:tcPr>
            <w:tcW w:w="10843" w:type="dxa"/>
            <w:gridSpan w:val="2"/>
            <w:tcBorders>
              <w:top w:val="nil"/>
              <w:bottom w:val="nil"/>
            </w:tcBorders>
            <w:shd w:val="clear" w:color="auto" w:fill="003399"/>
          </w:tcPr>
          <w:p w14:paraId="1A6D2168" w14:textId="77777777" w:rsidR="00B2049F" w:rsidRDefault="00B2049F">
            <w:pPr>
              <w:spacing w:line="48" w:lineRule="auto"/>
              <w:jc w:val="center"/>
              <w:rPr>
                <w:bCs/>
                <w:color w:val="FFFFFF"/>
                <w:sz w:val="22"/>
              </w:rPr>
            </w:pPr>
          </w:p>
          <w:p w14:paraId="37734EBB" w14:textId="77777777" w:rsidR="001333CB" w:rsidRPr="001333CB" w:rsidRDefault="001333CB" w:rsidP="001333CB">
            <w:pPr>
              <w:spacing w:before="240"/>
              <w:jc w:val="center"/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</w:pPr>
            <w:r w:rsidRPr="001333CB"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  <w:t>HANDEL WEWNĄTRZWSPÓLNOTOWY</w:t>
            </w:r>
          </w:p>
          <w:p w14:paraId="7D28E8CC" w14:textId="4507FB88" w:rsidR="00B2049F" w:rsidRPr="001333CB" w:rsidRDefault="001333CB" w:rsidP="001333CB">
            <w:pPr>
              <w:spacing w:after="360"/>
              <w:jc w:val="center"/>
              <w:rPr>
                <w:rFonts w:ascii="Calibri" w:hAnsi="Calibri"/>
                <w:b/>
                <w:bCs/>
                <w:iCs/>
                <w:color w:val="FFFFFF"/>
                <w:sz w:val="40"/>
                <w:szCs w:val="36"/>
              </w:rPr>
            </w:pPr>
            <w:r w:rsidRPr="001333CB"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  <w:t>EKSPORT, IMPORT</w:t>
            </w:r>
          </w:p>
        </w:tc>
      </w:tr>
      <w:tr w:rsidR="00FB7759" w14:paraId="29F8923A" w14:textId="77777777" w:rsidTr="002B5E97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562"/>
        </w:trPr>
        <w:tc>
          <w:tcPr>
            <w:tcW w:w="5456" w:type="dxa"/>
            <w:tcBorders>
              <w:right w:val="single" w:sz="4" w:space="0" w:color="003399"/>
            </w:tcBorders>
            <w:shd w:val="clear" w:color="auto" w:fill="3366FF"/>
            <w:vAlign w:val="center"/>
          </w:tcPr>
          <w:p w14:paraId="06A789A8" w14:textId="0E0CDF0D" w:rsidR="00FB7759" w:rsidRPr="007362F9" w:rsidRDefault="00FB7759" w:rsidP="00FB7759">
            <w:pPr>
              <w:ind w:right="23"/>
              <w:jc w:val="center"/>
              <w:rPr>
                <w:rFonts w:ascii="Calibri" w:hAnsi="Calibri"/>
                <w:b/>
                <w:iCs/>
                <w:color w:val="FFFFFF" w:themeColor="background1"/>
                <w:sz w:val="28"/>
                <w:szCs w:val="28"/>
              </w:rPr>
            </w:pPr>
            <w:r w:rsidRPr="00D046FA">
              <w:rPr>
                <w:rFonts w:ascii="Calibri" w:hAnsi="Calibri"/>
                <w:b/>
                <w:bCs/>
                <w:iCs/>
                <w:color w:val="F2F2F2" w:themeColor="background1" w:themeShade="F2"/>
              </w:rPr>
              <w:t>Szkolenia online – wirtualna sala ATL</w:t>
            </w:r>
          </w:p>
        </w:tc>
        <w:tc>
          <w:tcPr>
            <w:tcW w:w="5387" w:type="dxa"/>
            <w:tcBorders>
              <w:left w:val="single" w:sz="4" w:space="0" w:color="003399"/>
            </w:tcBorders>
            <w:shd w:val="clear" w:color="auto" w:fill="3366FF"/>
            <w:vAlign w:val="center"/>
          </w:tcPr>
          <w:p w14:paraId="0CB229C1" w14:textId="1ED59CB0" w:rsidR="00FB7759" w:rsidRPr="007362F9" w:rsidRDefault="00FB7759" w:rsidP="00FB7759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E68E5">
              <w:rPr>
                <w:rFonts w:ascii="Calibri" w:hAnsi="Calibri"/>
                <w:b/>
                <w:iCs/>
                <w:color w:val="FFFFFF" w:themeColor="background1"/>
              </w:rPr>
              <w:t>Szkolenia stacjonarne</w:t>
            </w:r>
          </w:p>
        </w:tc>
      </w:tr>
      <w:tr w:rsidR="00FB7759" w14:paraId="5596A6E0" w14:textId="77777777" w:rsidTr="0024471B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1420"/>
        </w:trPr>
        <w:tc>
          <w:tcPr>
            <w:tcW w:w="5456" w:type="dxa"/>
            <w:tcBorders>
              <w:bottom w:val="single" w:sz="18" w:space="0" w:color="000099"/>
              <w:right w:val="single" w:sz="4" w:space="0" w:color="000099"/>
            </w:tcBorders>
            <w:shd w:val="clear" w:color="auto" w:fill="F2F2F2" w:themeFill="background1" w:themeFillShade="F2"/>
            <w:vAlign w:val="center"/>
          </w:tcPr>
          <w:p w14:paraId="786054FD" w14:textId="2742245F" w:rsidR="00FB7759" w:rsidRPr="002E6F2E" w:rsidRDefault="00FB7759" w:rsidP="00FB7759">
            <w:pPr>
              <w:ind w:right="23"/>
              <w:jc w:val="center"/>
              <w:rPr>
                <w:rFonts w:ascii="Calibri" w:hAnsi="Calibri"/>
                <w:b/>
                <w:iCs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1</w:t>
            </w:r>
            <w:r w:rsidR="0035109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</w:t>
            </w:r>
            <w:r w:rsidR="00351093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.2022</w:t>
            </w:r>
          </w:p>
        </w:tc>
        <w:tc>
          <w:tcPr>
            <w:tcW w:w="5387" w:type="dxa"/>
            <w:tcBorders>
              <w:left w:val="single" w:sz="4" w:space="0" w:color="000099"/>
              <w:bottom w:val="single" w:sz="18" w:space="0" w:color="000099"/>
            </w:tcBorders>
            <w:shd w:val="clear" w:color="auto" w:fill="F2F2F2" w:themeFill="background1" w:themeFillShade="F2"/>
            <w:vAlign w:val="center"/>
          </w:tcPr>
          <w:p w14:paraId="25204F34" w14:textId="77777777" w:rsidR="00351093" w:rsidRPr="00351093" w:rsidRDefault="00FB7759" w:rsidP="00FB775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1093">
              <w:rPr>
                <w:rFonts w:asciiTheme="minorHAnsi" w:hAnsiTheme="minorHAnsi"/>
                <w:b/>
                <w:bCs/>
              </w:rPr>
              <w:t xml:space="preserve">Warszawa: </w:t>
            </w:r>
          </w:p>
          <w:p w14:paraId="22A957B6" w14:textId="48B6BA92" w:rsidR="00FB7759" w:rsidRPr="001333CB" w:rsidRDefault="00351093" w:rsidP="00FB77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4C09D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C09D3">
              <w:rPr>
                <w:rFonts w:asciiTheme="minorHAnsi" w:hAnsiTheme="minorHAnsi"/>
              </w:rPr>
              <w:t>.2022</w:t>
            </w:r>
          </w:p>
        </w:tc>
      </w:tr>
    </w:tbl>
    <w:p w14:paraId="59DB14E2" w14:textId="77777777" w:rsidR="0083036B" w:rsidRDefault="0083036B" w:rsidP="0083036B">
      <w:pPr>
        <w:shd w:val="clear" w:color="auto" w:fill="FFFFFF" w:themeFill="background1"/>
        <w:ind w:left="142" w:right="-1" w:hanging="142"/>
        <w:rPr>
          <w:rFonts w:ascii="Calibri" w:hAnsi="Calibri"/>
          <w:b/>
          <w:iCs/>
          <w:sz w:val="20"/>
          <w:szCs w:val="20"/>
        </w:rPr>
      </w:pPr>
    </w:p>
    <w:p w14:paraId="400E8EFE" w14:textId="11252A79" w:rsidR="00C66560" w:rsidRPr="006F4340" w:rsidRDefault="00C66560" w:rsidP="006F4340">
      <w:pPr>
        <w:shd w:val="clear" w:color="auto" w:fill="FFFFFF" w:themeFill="background1"/>
        <w:spacing w:before="120"/>
        <w:ind w:left="142" w:right="-1" w:hanging="142"/>
        <w:rPr>
          <w:rFonts w:ascii="Calibri" w:hAnsi="Calibri"/>
          <w:b/>
          <w:iCs/>
          <w:color w:val="003399"/>
          <w:sz w:val="20"/>
          <w:szCs w:val="20"/>
        </w:rPr>
      </w:pPr>
      <w:r w:rsidRPr="006F4340">
        <w:rPr>
          <w:rFonts w:ascii="Calibri" w:hAnsi="Calibri"/>
          <w:b/>
          <w:iCs/>
          <w:color w:val="003399"/>
          <w:sz w:val="20"/>
          <w:szCs w:val="20"/>
        </w:rPr>
        <w:t>Dlaczego ten temat zasługuje na szczególną uwagę:</w:t>
      </w:r>
    </w:p>
    <w:p w14:paraId="0FAA1FB7" w14:textId="77777777" w:rsidR="00D2149E" w:rsidRDefault="00D2149E" w:rsidP="006F4340">
      <w:pPr>
        <w:spacing w:before="120"/>
        <w:ind w:right="23"/>
        <w:jc w:val="both"/>
        <w:rPr>
          <w:rFonts w:ascii="Calibri" w:hAnsi="Calibri"/>
          <w:iCs/>
          <w:sz w:val="20"/>
          <w:szCs w:val="20"/>
        </w:rPr>
      </w:pPr>
      <w:r w:rsidRPr="0083170B">
        <w:rPr>
          <w:rFonts w:ascii="Calibri" w:hAnsi="Calibri"/>
          <w:iCs/>
          <w:sz w:val="20"/>
          <w:szCs w:val="20"/>
        </w:rPr>
        <w:t xml:space="preserve">Umowy zawierane z partnerem zagranicznym, zarówno z UE, jak i spoza UE, są szczególnie ważnym rodzajem umów, ze względu na różnorodność rozwiązań prawnych, zwyczajowych oraz uwarunkowania kulturowe. Polska, wstępując do UE uznała ponadto pierwszeństwo prawa UE nad rozwiązaniami krajowymi. </w:t>
      </w:r>
      <w:r w:rsidRPr="0083170B">
        <w:rPr>
          <w:rFonts w:ascii="Calibri" w:hAnsi="Calibri"/>
          <w:b/>
          <w:iCs/>
          <w:sz w:val="20"/>
          <w:szCs w:val="20"/>
        </w:rPr>
        <w:t xml:space="preserve">Na handlowca spadł więc obowiązek poruszania się w bardzo skomplikowanym, ulegającym ciągłym zmianom systemie.  Brak szerokiej wiedzy na ten temat powoduje liczne błędy na etapie negocjowania i realizacji takich umów, w tym generowanie niepotrzebnych </w:t>
      </w:r>
      <w:proofErr w:type="spellStart"/>
      <w:r w:rsidRPr="0083170B">
        <w:rPr>
          <w:rFonts w:ascii="Calibri" w:hAnsi="Calibri"/>
          <w:b/>
          <w:iCs/>
          <w:sz w:val="20"/>
          <w:szCs w:val="20"/>
        </w:rPr>
        <w:t>ryzyk</w:t>
      </w:r>
      <w:proofErr w:type="spellEnd"/>
      <w:r w:rsidRPr="0083170B">
        <w:rPr>
          <w:rFonts w:ascii="Calibri" w:hAnsi="Calibri"/>
          <w:b/>
          <w:iCs/>
          <w:sz w:val="20"/>
          <w:szCs w:val="20"/>
        </w:rPr>
        <w:t xml:space="preserve"> i kosztów. </w:t>
      </w:r>
      <w:r w:rsidRPr="0083170B">
        <w:rPr>
          <w:rFonts w:ascii="Calibri" w:hAnsi="Calibri"/>
          <w:iCs/>
          <w:sz w:val="20"/>
          <w:szCs w:val="20"/>
        </w:rPr>
        <w:t xml:space="preserve">Nie można tu polegać na doświadczeniu, bo zmieniają się nie tylko uwarunkowania prawne (np. nowe uregulowania w zakresie prawa właściwego), procedury (np. nowe zasady postępowania z akredytywami czy gwarancjami), ale także zwyczaje w tym zakresie (np. nowe bazy dostawy wg. </w:t>
      </w:r>
      <w:proofErr w:type="spellStart"/>
      <w:r w:rsidRPr="0083170B">
        <w:rPr>
          <w:rFonts w:ascii="Calibri" w:hAnsi="Calibri"/>
          <w:iCs/>
          <w:sz w:val="20"/>
          <w:szCs w:val="20"/>
        </w:rPr>
        <w:t>Incoterms</w:t>
      </w:r>
      <w:proofErr w:type="spellEnd"/>
      <w:r w:rsidRPr="0083170B">
        <w:rPr>
          <w:rFonts w:ascii="Calibri" w:hAnsi="Calibri"/>
          <w:iCs/>
          <w:sz w:val="20"/>
          <w:szCs w:val="20"/>
        </w:rPr>
        <w:t xml:space="preserve">). </w:t>
      </w:r>
    </w:p>
    <w:p w14:paraId="4548A9E2" w14:textId="03E9BFC8" w:rsidR="00D2149E" w:rsidRDefault="00D2149E" w:rsidP="006F4340">
      <w:pPr>
        <w:spacing w:before="120" w:after="240"/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83170B">
        <w:rPr>
          <w:rFonts w:ascii="Calibri" w:hAnsi="Calibri"/>
          <w:b/>
          <w:iCs/>
          <w:sz w:val="20"/>
          <w:szCs w:val="20"/>
        </w:rPr>
        <w:t>Naszym celem jest pokazanie, jak dokonywać eksportu, importu i prowadzić handel wewnątrzwspólnotowy, z uwzględnieniem właściwych zabezpieczeń w umowach, które pozwolą uniknąć niepotrzebnych kosztów dla obu partnerów, w sytuacji powstania sporu.</w:t>
      </w:r>
      <w:r w:rsidRPr="0083170B">
        <w:rPr>
          <w:rFonts w:ascii="Calibri" w:hAnsi="Calibri"/>
          <w:iCs/>
          <w:sz w:val="20"/>
          <w:szCs w:val="20"/>
        </w:rPr>
        <w:t xml:space="preserve"> Ostatnio w Polsce zaczęły między innymi obowiązywać uregulowania wdrażające Dyrektywę UE, dotyczące szczególnie istotnych kwestii przy negocjowaniu i zawieraniu umów handlowych w ramach UE, jakimi są problemy z ustalaniem płatności. Oszczędności bieżące i ograniczenie kosztownej odpowiedzialności w przyszłości są argumentami, za traktowaniem naszego szkole</w:t>
      </w:r>
      <w:r w:rsidR="00A81CF9">
        <w:rPr>
          <w:rFonts w:ascii="Calibri" w:hAnsi="Calibri"/>
          <w:iCs/>
          <w:sz w:val="20"/>
          <w:szCs w:val="20"/>
        </w:rPr>
        <w:t>nia jako niezbędnej inwestycji.</w:t>
      </w:r>
    </w:p>
    <w:p w14:paraId="0453CF75" w14:textId="77777777" w:rsidR="00C66560" w:rsidRPr="006F4340" w:rsidRDefault="00C66560" w:rsidP="00A46771">
      <w:pPr>
        <w:spacing w:before="120"/>
        <w:jc w:val="both"/>
        <w:rPr>
          <w:rFonts w:ascii="Calibri" w:hAnsi="Calibri"/>
          <w:b/>
          <w:iCs/>
          <w:color w:val="003399"/>
          <w:sz w:val="20"/>
        </w:rPr>
      </w:pPr>
      <w:r w:rsidRPr="006F4340">
        <w:rPr>
          <w:rFonts w:ascii="Calibri" w:hAnsi="Calibri"/>
          <w:b/>
          <w:iCs/>
          <w:color w:val="003399"/>
          <w:sz w:val="20"/>
        </w:rPr>
        <w:t xml:space="preserve">Do kogo kierujemy nasze szkolenie: </w:t>
      </w:r>
    </w:p>
    <w:p w14:paraId="02C6C96D" w14:textId="77777777" w:rsidR="00D2149E" w:rsidRPr="0083170B" w:rsidRDefault="00D2149E" w:rsidP="00D2149E">
      <w:pPr>
        <w:spacing w:after="240"/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83170B">
        <w:rPr>
          <w:rFonts w:ascii="Calibri" w:hAnsi="Calibri"/>
          <w:bCs/>
          <w:iCs/>
          <w:sz w:val="20"/>
          <w:szCs w:val="20"/>
        </w:rPr>
        <w:t>Kadry menedżerskiej, pracowników działów: sprzedaży i zakupów, eksportu i importu, oraz wszystkich osób odpowiedzialnych za negocjowanie, zawieranie i rozliczanie umów z partnerami zagranicznymi.</w:t>
      </w:r>
    </w:p>
    <w:p w14:paraId="282329C6" w14:textId="30C885ED" w:rsidR="00C66560" w:rsidRDefault="00E62B76" w:rsidP="00D2149E">
      <w:pPr>
        <w:shd w:val="clear" w:color="auto" w:fill="003399"/>
        <w:spacing w:before="120"/>
        <w:ind w:left="142" w:hanging="142"/>
        <w:rPr>
          <w:rFonts w:ascii="Calibri" w:hAnsi="Calibri"/>
          <w:b/>
          <w:iCs/>
          <w:color w:val="FFFFFF"/>
          <w:sz w:val="20"/>
        </w:rPr>
      </w:pPr>
      <w:r>
        <w:rPr>
          <w:rFonts w:ascii="Calibri" w:hAnsi="Calibri"/>
          <w:b/>
          <w:iCs/>
          <w:color w:val="FFFFFF"/>
          <w:sz w:val="20"/>
        </w:rPr>
        <w:t>Cel szkolenia</w:t>
      </w:r>
      <w:r w:rsidR="005C48F7">
        <w:rPr>
          <w:rFonts w:ascii="Calibri" w:hAnsi="Calibri"/>
          <w:b/>
          <w:iCs/>
          <w:color w:val="FFFFFF"/>
          <w:sz w:val="20"/>
        </w:rPr>
        <w:t xml:space="preserve"> – dzięki udziale w szkoleniu uczestnicy</w:t>
      </w:r>
    </w:p>
    <w:p w14:paraId="3D4819FC" w14:textId="77777777" w:rsidR="00D2149E" w:rsidRPr="00D2149E" w:rsidRDefault="00D2149E" w:rsidP="00D2149E">
      <w:pPr>
        <w:ind w:left="360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</w:p>
    <w:p w14:paraId="3E7F0CB9" w14:textId="2B5EDD73" w:rsidR="00D2149E" w:rsidRPr="00D2149E" w:rsidRDefault="00D2149E" w:rsidP="006F4340">
      <w:pPr>
        <w:pStyle w:val="Akapitzlist"/>
        <w:numPr>
          <w:ilvl w:val="0"/>
          <w:numId w:val="25"/>
        </w:numPr>
        <w:jc w:val="both"/>
        <w:rPr>
          <w:rFonts w:ascii="Calibri" w:hAnsi="Calibri"/>
          <w:b/>
          <w:bCs/>
          <w:iCs/>
          <w:sz w:val="20"/>
          <w:szCs w:val="20"/>
        </w:rPr>
      </w:pPr>
      <w:r w:rsidRPr="00D2149E">
        <w:rPr>
          <w:rFonts w:ascii="Calibri" w:hAnsi="Calibri"/>
          <w:bCs/>
          <w:iCs/>
          <w:sz w:val="20"/>
          <w:szCs w:val="20"/>
        </w:rPr>
        <w:t>uporządk</w:t>
      </w:r>
      <w:r>
        <w:rPr>
          <w:rFonts w:ascii="Calibri" w:hAnsi="Calibri"/>
          <w:bCs/>
          <w:iCs/>
          <w:sz w:val="20"/>
          <w:szCs w:val="20"/>
        </w:rPr>
        <w:t>ują</w:t>
      </w:r>
      <w:r w:rsidRPr="00D2149E">
        <w:rPr>
          <w:rFonts w:ascii="Calibri" w:hAnsi="Calibri"/>
          <w:bCs/>
          <w:iCs/>
          <w:sz w:val="20"/>
          <w:szCs w:val="20"/>
        </w:rPr>
        <w:t xml:space="preserve"> wiedz</w:t>
      </w:r>
      <w:r>
        <w:rPr>
          <w:rFonts w:ascii="Calibri" w:hAnsi="Calibri"/>
          <w:bCs/>
          <w:iCs/>
          <w:sz w:val="20"/>
          <w:szCs w:val="20"/>
        </w:rPr>
        <w:t>ę</w:t>
      </w:r>
      <w:r w:rsidRPr="00D2149E">
        <w:rPr>
          <w:rFonts w:ascii="Calibri" w:hAnsi="Calibri"/>
          <w:bCs/>
          <w:iCs/>
          <w:sz w:val="20"/>
          <w:szCs w:val="20"/>
        </w:rPr>
        <w:t xml:space="preserve"> na temat systemu prawa handlowego i zasad jego wykorzystania w bieżącej pracy,</w:t>
      </w:r>
    </w:p>
    <w:p w14:paraId="2B17DA5E" w14:textId="148004BC" w:rsidR="00D2149E" w:rsidRPr="006F62BC" w:rsidRDefault="00D2149E" w:rsidP="006F4340">
      <w:pPr>
        <w:pStyle w:val="Akapitzlist"/>
        <w:numPr>
          <w:ilvl w:val="0"/>
          <w:numId w:val="22"/>
        </w:numPr>
        <w:jc w:val="both"/>
        <w:rPr>
          <w:rFonts w:ascii="Calibri" w:hAnsi="Calibri"/>
          <w:bCs/>
          <w:sz w:val="20"/>
          <w:szCs w:val="20"/>
        </w:rPr>
      </w:pPr>
      <w:r w:rsidRPr="006F62BC">
        <w:rPr>
          <w:rFonts w:ascii="Calibri" w:hAnsi="Calibri"/>
          <w:bCs/>
          <w:iCs/>
          <w:sz w:val="20"/>
          <w:szCs w:val="20"/>
        </w:rPr>
        <w:t>zdob</w:t>
      </w:r>
      <w:r>
        <w:rPr>
          <w:rFonts w:ascii="Calibri" w:hAnsi="Calibri"/>
          <w:bCs/>
          <w:iCs/>
          <w:sz w:val="20"/>
          <w:szCs w:val="20"/>
        </w:rPr>
        <w:t xml:space="preserve">ędą </w:t>
      </w:r>
      <w:r w:rsidRPr="006F62BC">
        <w:rPr>
          <w:rFonts w:ascii="Calibri" w:hAnsi="Calibri"/>
          <w:bCs/>
          <w:iCs/>
          <w:sz w:val="20"/>
          <w:szCs w:val="20"/>
        </w:rPr>
        <w:t>wiedz</w:t>
      </w:r>
      <w:r>
        <w:rPr>
          <w:rFonts w:ascii="Calibri" w:hAnsi="Calibri"/>
          <w:bCs/>
          <w:iCs/>
          <w:sz w:val="20"/>
          <w:szCs w:val="20"/>
        </w:rPr>
        <w:t>ę</w:t>
      </w:r>
      <w:r w:rsidRPr="006F62BC">
        <w:rPr>
          <w:rFonts w:ascii="Calibri" w:hAnsi="Calibri"/>
          <w:bCs/>
          <w:iCs/>
          <w:sz w:val="20"/>
          <w:szCs w:val="20"/>
        </w:rPr>
        <w:t xml:space="preserve"> na temat </w:t>
      </w:r>
      <w:r w:rsidRPr="006F62BC">
        <w:rPr>
          <w:rFonts w:ascii="Calibri" w:hAnsi="Calibri"/>
          <w:bCs/>
          <w:sz w:val="20"/>
          <w:szCs w:val="20"/>
        </w:rPr>
        <w:t>skutecznego wchodzenia na rynki zagraniczne, a także analizy tych rynków jako źródeł zaopatrzenia,</w:t>
      </w:r>
    </w:p>
    <w:p w14:paraId="7EABC9A1" w14:textId="37DDDDBE" w:rsidR="00D2149E" w:rsidRPr="00D2149E" w:rsidRDefault="00D2149E" w:rsidP="006F4340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Calibri" w:hAnsi="Calibri"/>
          <w:bCs/>
          <w:iCs/>
          <w:sz w:val="20"/>
          <w:szCs w:val="20"/>
        </w:rPr>
      </w:pPr>
      <w:r w:rsidRPr="006F62BC">
        <w:rPr>
          <w:rFonts w:ascii="Calibri" w:hAnsi="Calibri"/>
          <w:bCs/>
          <w:iCs/>
          <w:sz w:val="20"/>
          <w:szCs w:val="20"/>
        </w:rPr>
        <w:t>zdob</w:t>
      </w:r>
      <w:r>
        <w:rPr>
          <w:rFonts w:ascii="Calibri" w:hAnsi="Calibri"/>
          <w:bCs/>
          <w:iCs/>
          <w:sz w:val="20"/>
          <w:szCs w:val="20"/>
        </w:rPr>
        <w:t xml:space="preserve">ędą </w:t>
      </w:r>
      <w:r w:rsidRPr="006F62BC">
        <w:rPr>
          <w:rFonts w:ascii="Calibri" w:hAnsi="Calibri"/>
          <w:bCs/>
          <w:iCs/>
          <w:sz w:val="20"/>
          <w:szCs w:val="20"/>
        </w:rPr>
        <w:t>wiedz</w:t>
      </w:r>
      <w:r>
        <w:rPr>
          <w:rFonts w:ascii="Calibri" w:hAnsi="Calibri"/>
          <w:bCs/>
          <w:iCs/>
          <w:sz w:val="20"/>
          <w:szCs w:val="20"/>
        </w:rPr>
        <w:t>ę</w:t>
      </w:r>
      <w:r w:rsidRPr="006F62BC">
        <w:rPr>
          <w:rFonts w:ascii="Calibri" w:hAnsi="Calibri"/>
          <w:bCs/>
          <w:iCs/>
          <w:sz w:val="20"/>
          <w:szCs w:val="20"/>
        </w:rPr>
        <w:t xml:space="preserve"> odnośnie zasad </w:t>
      </w:r>
      <w:r w:rsidRPr="006F62BC">
        <w:rPr>
          <w:rFonts w:ascii="Calibri" w:hAnsi="Calibri"/>
          <w:bCs/>
          <w:sz w:val="20"/>
          <w:szCs w:val="20"/>
        </w:rPr>
        <w:t>prowadzenia działalności handlowej zarówno w formie dostaw i zakupów wewnątrzwspólnotowych, jak i eksportu oraz importu</w:t>
      </w:r>
      <w:r>
        <w:rPr>
          <w:rFonts w:ascii="Calibri" w:hAnsi="Calibri"/>
          <w:bCs/>
          <w:sz w:val="20"/>
          <w:szCs w:val="20"/>
        </w:rPr>
        <w:t>,</w:t>
      </w:r>
    </w:p>
    <w:p w14:paraId="6903CEDE" w14:textId="29143573" w:rsidR="00D2149E" w:rsidRPr="00D2149E" w:rsidRDefault="00D2149E" w:rsidP="006F4340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Calibri" w:hAnsi="Calibri"/>
          <w:bCs/>
          <w:iCs/>
          <w:sz w:val="20"/>
          <w:szCs w:val="20"/>
        </w:rPr>
      </w:pPr>
      <w:r w:rsidRPr="00D2149E">
        <w:rPr>
          <w:rFonts w:ascii="Calibri" w:hAnsi="Calibri"/>
          <w:bCs/>
          <w:iCs/>
          <w:sz w:val="20"/>
          <w:szCs w:val="20"/>
        </w:rPr>
        <w:t>zdob</w:t>
      </w:r>
      <w:r>
        <w:rPr>
          <w:rFonts w:ascii="Calibri" w:hAnsi="Calibri"/>
          <w:bCs/>
          <w:iCs/>
          <w:sz w:val="20"/>
          <w:szCs w:val="20"/>
        </w:rPr>
        <w:t>ędą</w:t>
      </w:r>
      <w:r w:rsidRPr="00D2149E">
        <w:rPr>
          <w:rFonts w:ascii="Calibri" w:hAnsi="Calibri"/>
          <w:bCs/>
          <w:iCs/>
          <w:sz w:val="20"/>
          <w:szCs w:val="20"/>
        </w:rPr>
        <w:t xml:space="preserve"> praktyczn</w:t>
      </w:r>
      <w:r>
        <w:rPr>
          <w:rFonts w:ascii="Calibri" w:hAnsi="Calibri"/>
          <w:bCs/>
          <w:iCs/>
          <w:sz w:val="20"/>
          <w:szCs w:val="20"/>
        </w:rPr>
        <w:t>e</w:t>
      </w:r>
      <w:r w:rsidRPr="00D2149E">
        <w:rPr>
          <w:rFonts w:ascii="Calibri" w:hAnsi="Calibri"/>
          <w:bCs/>
          <w:iCs/>
          <w:sz w:val="20"/>
          <w:szCs w:val="20"/>
        </w:rPr>
        <w:t xml:space="preserve"> umiejętności posługiwania się </w:t>
      </w:r>
      <w:r w:rsidRPr="00D2149E">
        <w:rPr>
          <w:rFonts w:ascii="Calibri" w:hAnsi="Calibri"/>
          <w:sz w:val="20"/>
          <w:szCs w:val="20"/>
        </w:rPr>
        <w:t xml:space="preserve">procedurami eksportowymi oraz importowymi, a także dokumentami </w:t>
      </w:r>
      <w:r w:rsidR="006F4340">
        <w:rPr>
          <w:rFonts w:ascii="Calibri" w:hAnsi="Calibri"/>
          <w:sz w:val="20"/>
          <w:szCs w:val="20"/>
        </w:rPr>
        <w:t xml:space="preserve">           </w:t>
      </w:r>
      <w:r w:rsidRPr="00D2149E">
        <w:rPr>
          <w:rFonts w:ascii="Calibri" w:hAnsi="Calibri"/>
          <w:sz w:val="20"/>
          <w:szCs w:val="20"/>
        </w:rPr>
        <w:t>w handlu zagranicznym,</w:t>
      </w:r>
    </w:p>
    <w:p w14:paraId="522419A7" w14:textId="485BDE46" w:rsidR="00D2149E" w:rsidRPr="006F62BC" w:rsidRDefault="00D2149E" w:rsidP="006F4340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6F62BC">
        <w:rPr>
          <w:rFonts w:ascii="Calibri" w:hAnsi="Calibri"/>
          <w:sz w:val="20"/>
          <w:szCs w:val="20"/>
        </w:rPr>
        <w:t>nab</w:t>
      </w:r>
      <w:r w:rsidR="006F4340">
        <w:rPr>
          <w:rFonts w:ascii="Calibri" w:hAnsi="Calibri"/>
          <w:sz w:val="20"/>
          <w:szCs w:val="20"/>
        </w:rPr>
        <w:t>ędą</w:t>
      </w:r>
      <w:r w:rsidRPr="006F62BC">
        <w:rPr>
          <w:rFonts w:ascii="Calibri" w:hAnsi="Calibri"/>
          <w:sz w:val="20"/>
          <w:szCs w:val="20"/>
        </w:rPr>
        <w:t xml:space="preserve"> umiejętności radzenia sobie z różnymi problemami przy zawieraniu umów z partnerem zagranicznym, zarówno </w:t>
      </w:r>
      <w:r w:rsidR="006F4340">
        <w:rPr>
          <w:rFonts w:ascii="Calibri" w:hAnsi="Calibri"/>
          <w:sz w:val="20"/>
          <w:szCs w:val="20"/>
        </w:rPr>
        <w:t xml:space="preserve">             </w:t>
      </w:r>
      <w:r w:rsidRPr="006F62BC">
        <w:rPr>
          <w:rFonts w:ascii="Calibri" w:hAnsi="Calibri"/>
          <w:sz w:val="20"/>
          <w:szCs w:val="20"/>
        </w:rPr>
        <w:t>w zakresie towarów jak i usług,</w:t>
      </w:r>
    </w:p>
    <w:p w14:paraId="2B87CED8" w14:textId="77777777" w:rsidR="006F4340" w:rsidRDefault="00D2149E" w:rsidP="006F4340">
      <w:pPr>
        <w:pStyle w:val="Akapitzlist"/>
        <w:numPr>
          <w:ilvl w:val="0"/>
          <w:numId w:val="23"/>
        </w:numPr>
        <w:spacing w:after="120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6F62BC">
        <w:rPr>
          <w:rFonts w:ascii="Calibri" w:hAnsi="Calibri"/>
          <w:bCs/>
          <w:iCs/>
          <w:sz w:val="20"/>
          <w:szCs w:val="20"/>
        </w:rPr>
        <w:t>zdob</w:t>
      </w:r>
      <w:r w:rsidR="006F4340">
        <w:rPr>
          <w:rFonts w:ascii="Calibri" w:hAnsi="Calibri"/>
          <w:bCs/>
          <w:iCs/>
          <w:sz w:val="20"/>
          <w:szCs w:val="20"/>
        </w:rPr>
        <w:t>ędą</w:t>
      </w:r>
      <w:r w:rsidRPr="006F62BC">
        <w:rPr>
          <w:rFonts w:ascii="Calibri" w:hAnsi="Calibri"/>
          <w:bCs/>
          <w:iCs/>
          <w:sz w:val="20"/>
          <w:szCs w:val="20"/>
        </w:rPr>
        <w:t xml:space="preserve"> praktyczn</w:t>
      </w:r>
      <w:r w:rsidR="006F4340">
        <w:rPr>
          <w:rFonts w:ascii="Calibri" w:hAnsi="Calibri"/>
          <w:bCs/>
          <w:iCs/>
          <w:sz w:val="20"/>
          <w:szCs w:val="20"/>
        </w:rPr>
        <w:t>e</w:t>
      </w:r>
      <w:r w:rsidRPr="006F62BC">
        <w:rPr>
          <w:rFonts w:ascii="Calibri" w:hAnsi="Calibri"/>
          <w:bCs/>
          <w:iCs/>
          <w:sz w:val="20"/>
          <w:szCs w:val="20"/>
        </w:rPr>
        <w:t xml:space="preserve"> umiejętności </w:t>
      </w:r>
      <w:r w:rsidRPr="006F62BC">
        <w:rPr>
          <w:rFonts w:ascii="Calibri" w:hAnsi="Calibri"/>
          <w:sz w:val="20"/>
          <w:szCs w:val="20"/>
        </w:rPr>
        <w:t>zabezpieczania transakcji eksportowych i importowych oraz ich rozliczania.</w:t>
      </w:r>
    </w:p>
    <w:p w14:paraId="02D68418" w14:textId="77777777" w:rsidR="006F4340" w:rsidRPr="006F4340" w:rsidRDefault="00D2149E" w:rsidP="006F4340">
      <w:pPr>
        <w:pStyle w:val="Akapitzlist"/>
        <w:numPr>
          <w:ilvl w:val="0"/>
          <w:numId w:val="23"/>
        </w:numPr>
        <w:spacing w:after="120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6F4340">
        <w:rPr>
          <w:rFonts w:ascii="Calibri" w:hAnsi="Calibri"/>
          <w:bCs/>
          <w:iCs/>
          <w:sz w:val="20"/>
          <w:szCs w:val="20"/>
        </w:rPr>
        <w:t>nab</w:t>
      </w:r>
      <w:r w:rsidR="006F4340">
        <w:rPr>
          <w:rFonts w:ascii="Calibri" w:hAnsi="Calibri"/>
          <w:bCs/>
          <w:iCs/>
          <w:sz w:val="20"/>
          <w:szCs w:val="20"/>
        </w:rPr>
        <w:t>ędą</w:t>
      </w:r>
      <w:r w:rsidRPr="006F4340">
        <w:rPr>
          <w:rFonts w:ascii="Calibri" w:hAnsi="Calibri"/>
          <w:bCs/>
          <w:iCs/>
          <w:sz w:val="20"/>
          <w:szCs w:val="20"/>
        </w:rPr>
        <w:t xml:space="preserve"> kompetencj</w:t>
      </w:r>
      <w:r w:rsidR="006F4340">
        <w:rPr>
          <w:rFonts w:ascii="Calibri" w:hAnsi="Calibri"/>
          <w:bCs/>
          <w:iCs/>
          <w:sz w:val="20"/>
          <w:szCs w:val="20"/>
        </w:rPr>
        <w:t>e</w:t>
      </w:r>
      <w:r w:rsidRPr="006F4340">
        <w:rPr>
          <w:rFonts w:ascii="Calibri" w:hAnsi="Calibri"/>
          <w:bCs/>
          <w:iCs/>
          <w:sz w:val="20"/>
          <w:szCs w:val="20"/>
        </w:rPr>
        <w:t xml:space="preserve"> odnośnie samokształcenia się oraz zdobywania niezbędnej wiedzy o handlu zagranicznym oraz wewnątrzwspólnotowym, przepisach i ich aktualizacjach, </w:t>
      </w:r>
    </w:p>
    <w:p w14:paraId="04CE7AC6" w14:textId="7D121463" w:rsidR="00D2149E" w:rsidRPr="006F4340" w:rsidRDefault="00D2149E" w:rsidP="006F4340">
      <w:pPr>
        <w:pStyle w:val="Akapitzlist"/>
        <w:numPr>
          <w:ilvl w:val="0"/>
          <w:numId w:val="23"/>
        </w:numPr>
        <w:spacing w:after="120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6F4340">
        <w:rPr>
          <w:rFonts w:ascii="Calibri" w:hAnsi="Calibri"/>
          <w:bCs/>
          <w:iCs/>
          <w:sz w:val="20"/>
          <w:szCs w:val="20"/>
        </w:rPr>
        <w:t>zdob</w:t>
      </w:r>
      <w:r w:rsidR="006F4340">
        <w:rPr>
          <w:rFonts w:ascii="Calibri" w:hAnsi="Calibri"/>
          <w:bCs/>
          <w:iCs/>
          <w:sz w:val="20"/>
          <w:szCs w:val="20"/>
        </w:rPr>
        <w:t>ędą</w:t>
      </w:r>
      <w:r w:rsidRPr="006F4340">
        <w:rPr>
          <w:rFonts w:ascii="Calibri" w:hAnsi="Calibri"/>
          <w:bCs/>
          <w:iCs/>
          <w:sz w:val="20"/>
          <w:szCs w:val="20"/>
        </w:rPr>
        <w:t xml:space="preserve"> kompetencj</w:t>
      </w:r>
      <w:r w:rsidR="006F4340">
        <w:rPr>
          <w:rFonts w:ascii="Calibri" w:hAnsi="Calibri"/>
          <w:bCs/>
          <w:iCs/>
          <w:sz w:val="20"/>
          <w:szCs w:val="20"/>
        </w:rPr>
        <w:t>e</w:t>
      </w:r>
      <w:r w:rsidRPr="006F4340">
        <w:rPr>
          <w:rFonts w:ascii="Calibri" w:hAnsi="Calibri"/>
          <w:bCs/>
          <w:iCs/>
          <w:sz w:val="20"/>
          <w:szCs w:val="20"/>
        </w:rPr>
        <w:t xml:space="preserve"> w zakresie fachowego porozumiewania się z uczestnikami rynków zagranicznych</w:t>
      </w:r>
      <w:r w:rsidR="006F4340">
        <w:rPr>
          <w:rFonts w:ascii="Calibri" w:hAnsi="Calibri"/>
          <w:bCs/>
          <w:iCs/>
          <w:sz w:val="20"/>
          <w:szCs w:val="20"/>
        </w:rPr>
        <w:t>.</w:t>
      </w:r>
    </w:p>
    <w:p w14:paraId="39A51DC4" w14:textId="77777777" w:rsidR="006F4340" w:rsidRPr="006F4340" w:rsidRDefault="006F4340" w:rsidP="006F4340">
      <w:pPr>
        <w:pStyle w:val="Akapitzlist"/>
        <w:spacing w:after="120"/>
        <w:ind w:left="714"/>
        <w:contextualSpacing w:val="0"/>
        <w:jc w:val="both"/>
        <w:rPr>
          <w:rFonts w:ascii="Calibri" w:hAnsi="Calibri"/>
          <w:sz w:val="20"/>
          <w:szCs w:val="20"/>
        </w:rPr>
      </w:pPr>
    </w:p>
    <w:p w14:paraId="59495B43" w14:textId="4886BB6B" w:rsidR="00C66560" w:rsidRPr="0035057E" w:rsidRDefault="00C66560" w:rsidP="0035057E">
      <w:pPr>
        <w:shd w:val="clear" w:color="auto" w:fill="003399"/>
        <w:spacing w:before="120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35057E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1545BBD6" w14:textId="5E943798" w:rsidR="006F4340" w:rsidRPr="006F4340" w:rsidRDefault="006F4340" w:rsidP="006F4340">
      <w:pPr>
        <w:pStyle w:val="Akapitzlist"/>
        <w:numPr>
          <w:ilvl w:val="0"/>
          <w:numId w:val="27"/>
        </w:numPr>
        <w:spacing w:before="480" w:after="120"/>
        <w:ind w:left="357" w:hanging="357"/>
        <w:contextualSpacing w:val="0"/>
        <w:jc w:val="both"/>
        <w:rPr>
          <w:rFonts w:asciiTheme="minorHAnsi" w:hAnsiTheme="minorHAnsi"/>
          <w:b/>
          <w:color w:val="003399"/>
          <w:sz w:val="20"/>
          <w:szCs w:val="20"/>
        </w:rPr>
      </w:pPr>
      <w:r w:rsidRPr="006F4340">
        <w:rPr>
          <w:rFonts w:asciiTheme="minorHAnsi" w:hAnsiTheme="minorHAnsi"/>
          <w:b/>
          <w:color w:val="003399"/>
          <w:sz w:val="20"/>
          <w:szCs w:val="20"/>
        </w:rPr>
        <w:t>AKTUALNOŚCI W ZAKRESIE ZMIAN PRAWNYCH I ZWYCZAJOWYCH</w:t>
      </w:r>
      <w:r>
        <w:rPr>
          <w:rFonts w:asciiTheme="minorHAnsi" w:hAnsiTheme="minorHAnsi"/>
          <w:b/>
          <w:color w:val="003399"/>
          <w:sz w:val="20"/>
          <w:szCs w:val="20"/>
        </w:rPr>
        <w:t>.</w:t>
      </w:r>
    </w:p>
    <w:p w14:paraId="2F43CD18" w14:textId="77777777" w:rsidR="006F4340" w:rsidRPr="006F62BC" w:rsidRDefault="006F4340" w:rsidP="006F4340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 xml:space="preserve">Jakie aktualne rozwiązania prawne należy uwzględnić przy zawieraniu umów z partnerem zagranicznym z UE i spoza UE? </w:t>
      </w:r>
    </w:p>
    <w:p w14:paraId="571FEF14" w14:textId="77777777" w:rsidR="006F4340" w:rsidRPr="006F62BC" w:rsidRDefault="006F4340" w:rsidP="006F4340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Jaka jest rola międzynarodowych zwyczajów handlowych, które mają zastosowanie do umów handlowych?</w:t>
      </w:r>
    </w:p>
    <w:p w14:paraId="7F23B88A" w14:textId="77777777" w:rsidR="006F4340" w:rsidRPr="006F62BC" w:rsidRDefault="006F4340" w:rsidP="006F4340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 w:cs="Arial"/>
          <w:sz w:val="20"/>
          <w:szCs w:val="20"/>
        </w:rPr>
        <w:t>Dlaczego czasami należy wyłączyć z umowy</w:t>
      </w:r>
      <w:r w:rsidRPr="006F62BC">
        <w:rPr>
          <w:rFonts w:asciiTheme="minorHAnsi" w:hAnsiTheme="minorHAnsi"/>
          <w:sz w:val="20"/>
          <w:szCs w:val="20"/>
        </w:rPr>
        <w:t xml:space="preserve"> postanowienia Konwencji NZ o umowach międzynarodowej sprzedaży towarów (CISG)? </w:t>
      </w:r>
    </w:p>
    <w:p w14:paraId="186B8404" w14:textId="77777777" w:rsidR="006F4340" w:rsidRPr="006F62BC" w:rsidRDefault="006F4340" w:rsidP="006F4340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Kiedy ma zastosowanie Rozporządzenia Parlamentu Europejskiego i Rady (Rzym I)?</w:t>
      </w:r>
    </w:p>
    <w:p w14:paraId="6FB446EC" w14:textId="77777777" w:rsidR="006F4340" w:rsidRPr="006F62BC" w:rsidRDefault="006F4340" w:rsidP="006F4340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Jak na negocjowanie terminów płatności w ramach UE wpłynęło wdrożenie Dyrektywy o terminach zapłaty?</w:t>
      </w:r>
    </w:p>
    <w:p w14:paraId="7211B1C9" w14:textId="77777777" w:rsidR="006F4340" w:rsidRPr="006F62BC" w:rsidRDefault="006F4340" w:rsidP="006F4340">
      <w:pPr>
        <w:pStyle w:val="Akapitzlist"/>
        <w:numPr>
          <w:ilvl w:val="0"/>
          <w:numId w:val="28"/>
        </w:numPr>
        <w:spacing w:after="24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Które z uregulowań mają charakter bezwzględnie obowiązujący, a które można zmieniać umową?</w:t>
      </w:r>
    </w:p>
    <w:p w14:paraId="2BDE5525" w14:textId="7725AABE" w:rsidR="006F4340" w:rsidRPr="006F4340" w:rsidRDefault="006F4340" w:rsidP="006F434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Theme="minorHAnsi" w:hAnsiTheme="minorHAnsi"/>
          <w:b/>
          <w:color w:val="003399"/>
          <w:sz w:val="20"/>
          <w:szCs w:val="20"/>
        </w:rPr>
      </w:pPr>
      <w:r w:rsidRPr="006F4340">
        <w:rPr>
          <w:rFonts w:asciiTheme="minorHAnsi" w:hAnsiTheme="minorHAnsi"/>
          <w:b/>
          <w:color w:val="003399"/>
          <w:sz w:val="20"/>
          <w:szCs w:val="20"/>
        </w:rPr>
        <w:t>WYBÓR PRAWA WŁAŚCIWEGO W KONTRAKTACH Z PARTNEREM ZAGRANICZNYM</w:t>
      </w:r>
      <w:r>
        <w:rPr>
          <w:rFonts w:asciiTheme="minorHAnsi" w:hAnsiTheme="minorHAnsi"/>
          <w:b/>
          <w:color w:val="003399"/>
          <w:sz w:val="20"/>
          <w:szCs w:val="20"/>
        </w:rPr>
        <w:t>.</w:t>
      </w:r>
    </w:p>
    <w:p w14:paraId="0B75404A" w14:textId="77777777" w:rsidR="006F4340" w:rsidRPr="006F62BC" w:rsidRDefault="006F4340" w:rsidP="006F4340">
      <w:pPr>
        <w:pStyle w:val="Akapitzlist"/>
        <w:numPr>
          <w:ilvl w:val="0"/>
          <w:numId w:val="29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Na czym polegają zasady wyboru prawa właściwego dla umowy według Rozporządzenia Rzym I?</w:t>
      </w:r>
    </w:p>
    <w:p w14:paraId="2C30142D" w14:textId="77777777" w:rsidR="006F4340" w:rsidRPr="006F62BC" w:rsidRDefault="006F4340" w:rsidP="006F4340">
      <w:pPr>
        <w:pStyle w:val="Akapitzlist"/>
        <w:numPr>
          <w:ilvl w:val="0"/>
          <w:numId w:val="29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Co to jest prawo PECL i PICC?</w:t>
      </w:r>
    </w:p>
    <w:p w14:paraId="4B82CC27" w14:textId="77777777" w:rsidR="006F4340" w:rsidRPr="006F62BC" w:rsidRDefault="006F4340" w:rsidP="006F4340">
      <w:pPr>
        <w:pStyle w:val="Akapitzlist"/>
        <w:numPr>
          <w:ilvl w:val="0"/>
          <w:numId w:val="29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Jakie prawo ma zastosowanie do umowy w sytuacji braku wyraźnego wyboru prawa?</w:t>
      </w:r>
    </w:p>
    <w:p w14:paraId="73DECAC8" w14:textId="77777777" w:rsidR="006F4340" w:rsidRPr="006F62BC" w:rsidRDefault="006F4340" w:rsidP="006F4340">
      <w:pPr>
        <w:pStyle w:val="Akapitzlist"/>
        <w:numPr>
          <w:ilvl w:val="0"/>
          <w:numId w:val="29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Jak powinien prawo negocjować eksporter, a jak importer?</w:t>
      </w:r>
    </w:p>
    <w:p w14:paraId="451659F6" w14:textId="77777777" w:rsidR="006F4340" w:rsidRPr="006F62BC" w:rsidRDefault="006F4340" w:rsidP="006F4340">
      <w:pPr>
        <w:pStyle w:val="Akapitzlist"/>
        <w:numPr>
          <w:ilvl w:val="0"/>
          <w:numId w:val="29"/>
        </w:numPr>
        <w:spacing w:after="24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Co to znaczy domniemany wybór prawa?</w:t>
      </w:r>
    </w:p>
    <w:p w14:paraId="0585FD39" w14:textId="7B1423C5" w:rsidR="006F4340" w:rsidRPr="006F4340" w:rsidRDefault="006F4340" w:rsidP="006F434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Theme="minorHAnsi" w:hAnsiTheme="minorHAnsi"/>
          <w:b/>
          <w:color w:val="003399"/>
          <w:sz w:val="20"/>
          <w:szCs w:val="20"/>
        </w:rPr>
      </w:pPr>
      <w:r w:rsidRPr="006F4340">
        <w:rPr>
          <w:rFonts w:asciiTheme="minorHAnsi" w:hAnsiTheme="minorHAnsi"/>
          <w:b/>
          <w:color w:val="003399"/>
          <w:sz w:val="20"/>
          <w:szCs w:val="20"/>
        </w:rPr>
        <w:t>USTALANIE BAZY DOSTAWY W EKSPORCIE I IMPORCIE</w:t>
      </w:r>
      <w:r>
        <w:rPr>
          <w:rFonts w:asciiTheme="minorHAnsi" w:hAnsiTheme="minorHAnsi"/>
          <w:b/>
          <w:color w:val="003399"/>
          <w:sz w:val="20"/>
          <w:szCs w:val="20"/>
        </w:rPr>
        <w:t>.</w:t>
      </w:r>
    </w:p>
    <w:p w14:paraId="005038CC" w14:textId="77777777" w:rsidR="006F4340" w:rsidRPr="006F62BC" w:rsidRDefault="006F4340" w:rsidP="006F4340">
      <w:pPr>
        <w:pStyle w:val="Akapitzlist"/>
        <w:numPr>
          <w:ilvl w:val="0"/>
          <w:numId w:val="30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Jak ująć bazę dostawy w kontrakcie i dlaczego niezbędna jest jej wykładnia wraz z rokiem edycji?</w:t>
      </w:r>
    </w:p>
    <w:p w14:paraId="209F895B" w14:textId="77777777" w:rsidR="006F4340" w:rsidRPr="006F62BC" w:rsidRDefault="006F4340" w:rsidP="006F4340">
      <w:pPr>
        <w:pStyle w:val="Akapitzlist"/>
        <w:numPr>
          <w:ilvl w:val="0"/>
          <w:numId w:val="30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Jakie były najważniejsze zmiany w nowej wersji INCOTERMS 20</w:t>
      </w:r>
      <w:r>
        <w:rPr>
          <w:rFonts w:asciiTheme="minorHAnsi" w:hAnsiTheme="minorHAnsi"/>
          <w:sz w:val="20"/>
          <w:szCs w:val="20"/>
        </w:rPr>
        <w:t>2</w:t>
      </w:r>
      <w:r w:rsidRPr="006F62BC">
        <w:rPr>
          <w:rFonts w:asciiTheme="minorHAnsi" w:hAnsiTheme="minorHAnsi"/>
          <w:sz w:val="20"/>
          <w:szCs w:val="20"/>
        </w:rPr>
        <w:t>0 i jak stosować nowe reguły</w:t>
      </w:r>
      <w:r>
        <w:rPr>
          <w:rFonts w:asciiTheme="minorHAnsi" w:hAnsiTheme="minorHAnsi"/>
          <w:sz w:val="20"/>
          <w:szCs w:val="20"/>
        </w:rPr>
        <w:t>, w tym</w:t>
      </w:r>
      <w:r w:rsidRPr="006F62BC">
        <w:rPr>
          <w:rFonts w:asciiTheme="minorHAnsi" w:hAnsiTheme="minorHAnsi"/>
          <w:sz w:val="20"/>
          <w:szCs w:val="20"/>
        </w:rPr>
        <w:t xml:space="preserve"> D</w:t>
      </w:r>
      <w:r>
        <w:rPr>
          <w:rFonts w:asciiTheme="minorHAnsi" w:hAnsiTheme="minorHAnsi"/>
          <w:sz w:val="20"/>
          <w:szCs w:val="20"/>
        </w:rPr>
        <w:t>PU</w:t>
      </w:r>
      <w:r w:rsidRPr="006F62BC">
        <w:rPr>
          <w:rFonts w:asciiTheme="minorHAnsi" w:hAnsiTheme="minorHAnsi"/>
          <w:sz w:val="20"/>
          <w:szCs w:val="20"/>
        </w:rPr>
        <w:t>?</w:t>
      </w:r>
    </w:p>
    <w:p w14:paraId="23653816" w14:textId="77777777" w:rsidR="006F4340" w:rsidRPr="006F62BC" w:rsidRDefault="006F4340" w:rsidP="006F4340">
      <w:pPr>
        <w:pStyle w:val="Akapitzlist"/>
        <w:numPr>
          <w:ilvl w:val="0"/>
          <w:numId w:val="30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Czy kontrakty oparte na zlikwidowanej regule D</w:t>
      </w:r>
      <w:r>
        <w:rPr>
          <w:rFonts w:asciiTheme="minorHAnsi" w:hAnsiTheme="minorHAnsi"/>
          <w:sz w:val="20"/>
          <w:szCs w:val="20"/>
        </w:rPr>
        <w:t>AT</w:t>
      </w:r>
      <w:r w:rsidRPr="006F62BC">
        <w:rPr>
          <w:rFonts w:asciiTheme="minorHAnsi" w:hAnsiTheme="minorHAnsi"/>
          <w:sz w:val="20"/>
          <w:szCs w:val="20"/>
        </w:rPr>
        <w:t xml:space="preserve"> są ważne i czy można dokonać na ich podstawie odprawy celnej?</w:t>
      </w:r>
    </w:p>
    <w:p w14:paraId="7D25658D" w14:textId="77777777" w:rsidR="006F4340" w:rsidRPr="006F62BC" w:rsidRDefault="006F4340" w:rsidP="006F4340">
      <w:pPr>
        <w:pStyle w:val="Akapitzlist"/>
        <w:numPr>
          <w:ilvl w:val="0"/>
          <w:numId w:val="30"/>
        </w:numPr>
        <w:spacing w:after="24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Kiedy w umowach mają zastosowanie zwyczaje RAFTD i COMBITERMS?</w:t>
      </w:r>
    </w:p>
    <w:p w14:paraId="1EB5CFF4" w14:textId="4EAD3A5F" w:rsidR="006F4340" w:rsidRPr="006F4340" w:rsidRDefault="006F4340" w:rsidP="006F434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Theme="minorHAnsi" w:hAnsiTheme="minorHAnsi"/>
          <w:b/>
          <w:color w:val="003399"/>
          <w:sz w:val="20"/>
          <w:szCs w:val="20"/>
        </w:rPr>
      </w:pPr>
      <w:r w:rsidRPr="006F4340">
        <w:rPr>
          <w:rFonts w:asciiTheme="minorHAnsi" w:hAnsiTheme="minorHAnsi"/>
          <w:b/>
          <w:color w:val="003399"/>
          <w:sz w:val="20"/>
          <w:szCs w:val="20"/>
        </w:rPr>
        <w:t>PREFERENCJE W ZAKRESIE SPOSOBU ROZLICZEŃ KONTRAKTU</w:t>
      </w:r>
      <w:r>
        <w:rPr>
          <w:rFonts w:asciiTheme="minorHAnsi" w:hAnsiTheme="minorHAnsi"/>
          <w:b/>
          <w:color w:val="003399"/>
          <w:sz w:val="20"/>
          <w:szCs w:val="20"/>
        </w:rPr>
        <w:t>.</w:t>
      </w:r>
    </w:p>
    <w:p w14:paraId="3FF795B0" w14:textId="0C0CBE55" w:rsidR="006F4340" w:rsidRPr="006F62BC" w:rsidRDefault="006F4340" w:rsidP="006F4340">
      <w:pPr>
        <w:pStyle w:val="Akapitzlist"/>
        <w:numPr>
          <w:ilvl w:val="0"/>
          <w:numId w:val="31"/>
        </w:numPr>
        <w:ind w:left="714" w:hanging="357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 xml:space="preserve">Ile wynosi maksymalny, dopuszczalny termin płatności w UE i jakie są konsekwencje innego  uregulowania tej kwestii </w:t>
      </w:r>
      <w:r>
        <w:rPr>
          <w:rFonts w:asciiTheme="minorHAnsi" w:hAnsiTheme="minorHAnsi"/>
          <w:sz w:val="20"/>
          <w:szCs w:val="20"/>
        </w:rPr>
        <w:t xml:space="preserve">                 </w:t>
      </w:r>
      <w:r w:rsidRPr="006F62BC">
        <w:rPr>
          <w:rFonts w:asciiTheme="minorHAnsi" w:hAnsiTheme="minorHAnsi"/>
          <w:sz w:val="20"/>
          <w:szCs w:val="20"/>
        </w:rPr>
        <w:t>w umowie?</w:t>
      </w:r>
    </w:p>
    <w:p w14:paraId="183656CF" w14:textId="07AEB728" w:rsidR="006F4340" w:rsidRPr="006F62BC" w:rsidRDefault="006F4340" w:rsidP="006F4340">
      <w:pPr>
        <w:pStyle w:val="Akapitzlist"/>
        <w:numPr>
          <w:ilvl w:val="0"/>
          <w:numId w:val="31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Jakie pojawiły się alternatywy gwarancji bankowych według zwyczajów URDG 758 i w praktyce bankowej?</w:t>
      </w:r>
    </w:p>
    <w:p w14:paraId="77ACFCD1" w14:textId="77777777" w:rsidR="006F4340" w:rsidRPr="006F62BC" w:rsidRDefault="006F4340" w:rsidP="006F4340">
      <w:pPr>
        <w:pStyle w:val="Akapitzlist"/>
        <w:numPr>
          <w:ilvl w:val="0"/>
          <w:numId w:val="31"/>
        </w:numPr>
        <w:spacing w:after="24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Jak rozliczać umowy akredytywą według UCP 600, w tym STANBY L/C oraz wykorzystać niekonwencjonalne zabezpieczenia finansowe umów?</w:t>
      </w:r>
    </w:p>
    <w:p w14:paraId="426BD1EA" w14:textId="66A52773" w:rsidR="006F4340" w:rsidRPr="006F4340" w:rsidRDefault="006F4340" w:rsidP="006F434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Theme="minorHAnsi" w:hAnsiTheme="minorHAnsi"/>
          <w:b/>
          <w:color w:val="003399"/>
          <w:sz w:val="20"/>
          <w:szCs w:val="20"/>
        </w:rPr>
      </w:pPr>
      <w:r w:rsidRPr="006F4340">
        <w:rPr>
          <w:rFonts w:asciiTheme="minorHAnsi" w:hAnsiTheme="minorHAnsi"/>
          <w:b/>
          <w:color w:val="003399"/>
          <w:sz w:val="20"/>
          <w:szCs w:val="20"/>
        </w:rPr>
        <w:t>ZAWIERANIE UMÓW W FORMIE OFERTY Z PARTNERAMI ZAGRANICZNYMI – PRAKTYKA NA RÓŻNYCH RYNKACH</w:t>
      </w:r>
      <w:r>
        <w:rPr>
          <w:rFonts w:asciiTheme="minorHAnsi" w:hAnsiTheme="minorHAnsi"/>
          <w:b/>
          <w:color w:val="003399"/>
          <w:sz w:val="20"/>
          <w:szCs w:val="20"/>
        </w:rPr>
        <w:t>.</w:t>
      </w:r>
    </w:p>
    <w:p w14:paraId="3D60DEBE" w14:textId="77777777" w:rsidR="006F4340" w:rsidRPr="006F62BC" w:rsidRDefault="006F4340" w:rsidP="006F4340">
      <w:pPr>
        <w:pStyle w:val="Akapitzlis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Jak zawierać umowy w formie oferty z partnerem z UE i spoza UE, zgodnie z postanowieniami Konwencji CISG?</w:t>
      </w:r>
    </w:p>
    <w:p w14:paraId="484DE59B" w14:textId="77777777" w:rsidR="006F4340" w:rsidRPr="006F62BC" w:rsidRDefault="006F4340" w:rsidP="006F4340">
      <w:pPr>
        <w:pStyle w:val="Akapitzlis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W którym momencie uważa się za uzgodnione ogólne warunki sprzedaży / zakupu, w różnych systemach prawnych?</w:t>
      </w:r>
    </w:p>
    <w:p w14:paraId="6F6E4931" w14:textId="77777777" w:rsidR="006F4340" w:rsidRPr="006F62BC" w:rsidRDefault="006F4340" w:rsidP="006F4340">
      <w:pPr>
        <w:pStyle w:val="Akapitzlis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Jakie postanowienia dotyczące oferty zawiera Konwencja CISG?</w:t>
      </w:r>
    </w:p>
    <w:p w14:paraId="74FACD7D" w14:textId="77777777" w:rsidR="006F4340" w:rsidRPr="006F62BC" w:rsidRDefault="006F4340" w:rsidP="006F4340">
      <w:pPr>
        <w:pStyle w:val="Akapitzlist"/>
        <w:numPr>
          <w:ilvl w:val="0"/>
          <w:numId w:val="32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Ile czasu wiąże oferta w handlu zagranicznym, w zależności od formy, w której została złożona?</w:t>
      </w:r>
    </w:p>
    <w:p w14:paraId="54AA3BCE" w14:textId="68E757EB" w:rsidR="006F4340" w:rsidRPr="006F4340" w:rsidRDefault="006F4340" w:rsidP="006F434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Theme="minorHAnsi" w:hAnsiTheme="minorHAnsi"/>
          <w:b/>
          <w:color w:val="003399"/>
          <w:sz w:val="20"/>
          <w:szCs w:val="20"/>
        </w:rPr>
      </w:pPr>
      <w:r w:rsidRPr="006F4340">
        <w:rPr>
          <w:rFonts w:asciiTheme="minorHAnsi" w:hAnsiTheme="minorHAnsi"/>
          <w:b/>
          <w:color w:val="003399"/>
          <w:sz w:val="20"/>
          <w:szCs w:val="20"/>
        </w:rPr>
        <w:t>NEGOCJOWANIE ZABEZPIECZEŃ W KLAUZULACH KONTRAKTOWYCH PRZEZ EKSPORTERA I IMPORTERA</w:t>
      </w:r>
      <w:r>
        <w:rPr>
          <w:rFonts w:asciiTheme="minorHAnsi" w:hAnsiTheme="minorHAnsi"/>
          <w:b/>
          <w:color w:val="003399"/>
          <w:sz w:val="20"/>
          <w:szCs w:val="20"/>
        </w:rPr>
        <w:t>.</w:t>
      </w:r>
    </w:p>
    <w:p w14:paraId="21C5305E" w14:textId="57DE05F5" w:rsidR="006F4340" w:rsidRPr="006F62BC" w:rsidRDefault="006F4340" w:rsidP="006F4340">
      <w:pPr>
        <w:pStyle w:val="Akapitzlist"/>
        <w:numPr>
          <w:ilvl w:val="0"/>
          <w:numId w:val="33"/>
        </w:numPr>
        <w:ind w:left="714" w:hanging="357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 xml:space="preserve">Jakie są zasady negocjowania klauzul umów jednodokumentowych, zgodnych z koncepcją kontraktów wzorcowych </w:t>
      </w:r>
      <w:r>
        <w:rPr>
          <w:rFonts w:asciiTheme="minorHAnsi" w:hAnsiTheme="minorHAnsi"/>
          <w:sz w:val="20"/>
          <w:szCs w:val="20"/>
        </w:rPr>
        <w:t xml:space="preserve">                        </w:t>
      </w:r>
      <w:r w:rsidRPr="006F62BC">
        <w:rPr>
          <w:rFonts w:asciiTheme="minorHAnsi" w:hAnsiTheme="minorHAnsi"/>
          <w:sz w:val="20"/>
          <w:szCs w:val="20"/>
        </w:rPr>
        <w:t>i wykładnią ICC?</w:t>
      </w:r>
    </w:p>
    <w:p w14:paraId="24DD5A85" w14:textId="77777777" w:rsidR="006F4340" w:rsidRPr="006F62BC" w:rsidRDefault="006F4340" w:rsidP="006F4340">
      <w:pPr>
        <w:pStyle w:val="Akapitzlist"/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Jaka jest wykładnia siły wyższej i jak powinno być to ujęte w kontrakcie?</w:t>
      </w:r>
    </w:p>
    <w:p w14:paraId="5AE66805" w14:textId="77777777" w:rsidR="006F4340" w:rsidRPr="006F62BC" w:rsidRDefault="006F4340" w:rsidP="006F4340">
      <w:pPr>
        <w:pStyle w:val="Akapitzlist"/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Dlaczego kary umowne mogą być niebezpieczne dla kupującego?</w:t>
      </w:r>
    </w:p>
    <w:p w14:paraId="54318180" w14:textId="77777777" w:rsidR="006F4340" w:rsidRPr="006F62BC" w:rsidRDefault="006F4340" w:rsidP="006F4340">
      <w:pPr>
        <w:pStyle w:val="Akapitzlist"/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W jaki sposób sprzedający może zabezpieczyć się przed ryzykiem wysokiej odpowiedzialności z tytułu kar umownych?</w:t>
      </w:r>
    </w:p>
    <w:p w14:paraId="0A41E4BE" w14:textId="77777777" w:rsidR="006F4340" w:rsidRPr="006F62BC" w:rsidRDefault="006F4340" w:rsidP="006F4340">
      <w:pPr>
        <w:pStyle w:val="Akapitzlist"/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Kiedy kary umowne nie zabezpieczają właściwie interesów kupującego, w szczególności w sytuacji wysokiej szkody, spowodowanej niedotrzymaniem terminu dostawy?</w:t>
      </w:r>
    </w:p>
    <w:p w14:paraId="1CF10D50" w14:textId="77777777" w:rsidR="006F4340" w:rsidRPr="006F62BC" w:rsidRDefault="006F4340" w:rsidP="006F4340">
      <w:pPr>
        <w:pStyle w:val="Akapitzlist"/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Czy można ustalać kary z partnerami zagranicznymi za opóźnienie czy tylko za zwłokę?</w:t>
      </w:r>
    </w:p>
    <w:p w14:paraId="66988A0E" w14:textId="77777777" w:rsidR="006F4340" w:rsidRPr="006F62BC" w:rsidRDefault="006F4340" w:rsidP="006F4340">
      <w:pPr>
        <w:pStyle w:val="Akapitzlist"/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Jak formułować klauzule poufności i praw autorskich w odniesieniu do podmiotów zagranicznych?</w:t>
      </w:r>
    </w:p>
    <w:p w14:paraId="04F52CAE" w14:textId="77777777" w:rsidR="006F4340" w:rsidRPr="006F62BC" w:rsidRDefault="006F4340" w:rsidP="006F4340">
      <w:pPr>
        <w:pStyle w:val="Akapitzlist"/>
        <w:numPr>
          <w:ilvl w:val="0"/>
          <w:numId w:val="33"/>
        </w:numPr>
        <w:spacing w:after="24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Kiedy można odstąpić od umowy,  dokonać zmiany jej postanowień w sytuacji nadzwyczajnej zmiany stosunków, zwolnić się od odpowiedzialności kontraktowej w ramach eksportu,  importu i dostaw wewnątrzwspólnotowych?</w:t>
      </w:r>
    </w:p>
    <w:p w14:paraId="4CBFD0C6" w14:textId="7B97734C" w:rsidR="006F4340" w:rsidRDefault="006F4340" w:rsidP="006F4340">
      <w:pPr>
        <w:spacing w:after="240"/>
        <w:jc w:val="both"/>
        <w:rPr>
          <w:rFonts w:asciiTheme="minorHAnsi" w:hAnsiTheme="minorHAnsi"/>
          <w:sz w:val="20"/>
          <w:szCs w:val="20"/>
        </w:rPr>
      </w:pPr>
    </w:p>
    <w:p w14:paraId="7C2F2F01" w14:textId="77777777" w:rsidR="006F4340" w:rsidRPr="006F62BC" w:rsidRDefault="006F4340" w:rsidP="006F4340">
      <w:pPr>
        <w:spacing w:after="240"/>
        <w:jc w:val="both"/>
        <w:rPr>
          <w:rFonts w:asciiTheme="minorHAnsi" w:hAnsiTheme="minorHAnsi"/>
          <w:sz w:val="20"/>
          <w:szCs w:val="20"/>
        </w:rPr>
      </w:pPr>
    </w:p>
    <w:p w14:paraId="75B9134B" w14:textId="77777777" w:rsidR="006F4340" w:rsidRPr="006F62BC" w:rsidRDefault="006F4340" w:rsidP="006F4340">
      <w:pPr>
        <w:jc w:val="both"/>
        <w:rPr>
          <w:rFonts w:asciiTheme="minorHAnsi" w:hAnsiTheme="minorHAnsi"/>
          <w:sz w:val="20"/>
          <w:szCs w:val="20"/>
        </w:rPr>
      </w:pPr>
    </w:p>
    <w:p w14:paraId="58261C81" w14:textId="0E24B6DA" w:rsidR="006F4340" w:rsidRPr="006F4340" w:rsidRDefault="006F4340" w:rsidP="006F434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Theme="minorHAnsi" w:hAnsiTheme="minorHAnsi"/>
          <w:b/>
          <w:color w:val="003399"/>
          <w:sz w:val="20"/>
          <w:szCs w:val="20"/>
        </w:rPr>
      </w:pPr>
      <w:r w:rsidRPr="006F4340">
        <w:rPr>
          <w:rFonts w:asciiTheme="minorHAnsi" w:hAnsiTheme="minorHAnsi"/>
          <w:b/>
          <w:color w:val="003399"/>
          <w:sz w:val="20"/>
          <w:szCs w:val="20"/>
        </w:rPr>
        <w:t>PRECYZOWANIE W UMOWIE ODPOWIEDZIALONOŚCI Z TYTUŁU JAKOŚCI TOWARU CZY USŁUGI.</w:t>
      </w:r>
    </w:p>
    <w:p w14:paraId="49206F3B" w14:textId="77777777" w:rsidR="006F4340" w:rsidRPr="006F62BC" w:rsidRDefault="006F4340" w:rsidP="006F4340">
      <w:pPr>
        <w:pStyle w:val="Akapitzlist"/>
        <w:numPr>
          <w:ilvl w:val="0"/>
          <w:numId w:val="34"/>
        </w:numPr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6F62BC">
        <w:rPr>
          <w:rFonts w:asciiTheme="minorHAnsi" w:hAnsiTheme="minorHAnsi" w:cs="Arial"/>
          <w:sz w:val="20"/>
          <w:szCs w:val="20"/>
        </w:rPr>
        <w:t xml:space="preserve">W jakich sytuacjach kupujący może dochodzić roszczeń z tytułu jakości przez okres dłuższy niż określony w gwarancji jakości? </w:t>
      </w:r>
    </w:p>
    <w:p w14:paraId="7C5819A0" w14:textId="77777777" w:rsidR="006F4340" w:rsidRPr="006F62BC" w:rsidRDefault="006F4340" w:rsidP="006F4340">
      <w:pPr>
        <w:pStyle w:val="Akapitzlist"/>
        <w:numPr>
          <w:ilvl w:val="0"/>
          <w:numId w:val="34"/>
        </w:numPr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6F62BC">
        <w:rPr>
          <w:rFonts w:asciiTheme="minorHAnsi" w:hAnsiTheme="minorHAnsi" w:cs="Arial"/>
          <w:sz w:val="20"/>
          <w:szCs w:val="20"/>
        </w:rPr>
        <w:t>Co to znaczy niezgodność dostawy z umową i jak do tego odnosi się Konwencja Narodów Zjednoczonych o umowach międzynarodowej sprzedaży towarów?</w:t>
      </w:r>
    </w:p>
    <w:p w14:paraId="5ADBFE3E" w14:textId="77777777" w:rsidR="006F4340" w:rsidRPr="006F62BC" w:rsidRDefault="006F4340" w:rsidP="006F4340">
      <w:pPr>
        <w:pStyle w:val="Akapitzlist"/>
        <w:numPr>
          <w:ilvl w:val="0"/>
          <w:numId w:val="34"/>
        </w:numPr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6F62BC">
        <w:rPr>
          <w:rFonts w:asciiTheme="minorHAnsi" w:hAnsiTheme="minorHAnsi" w:cs="Arial"/>
          <w:sz w:val="20"/>
          <w:szCs w:val="20"/>
        </w:rPr>
        <w:t>Jak można wyłączyć niekorzystne dla eksportera postanowienia Konwencji CISG?</w:t>
      </w:r>
    </w:p>
    <w:p w14:paraId="44B578C0" w14:textId="77777777" w:rsidR="006F4340" w:rsidRPr="006F62BC" w:rsidRDefault="006F4340" w:rsidP="006F4340">
      <w:pPr>
        <w:pStyle w:val="Akapitzlist"/>
        <w:numPr>
          <w:ilvl w:val="0"/>
          <w:numId w:val="34"/>
        </w:numPr>
        <w:spacing w:after="240"/>
        <w:ind w:left="714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6F62BC">
        <w:rPr>
          <w:rFonts w:asciiTheme="minorHAnsi" w:hAnsiTheme="minorHAnsi" w:cs="Arial"/>
          <w:sz w:val="20"/>
          <w:szCs w:val="20"/>
        </w:rPr>
        <w:t>Jak uwzględnić w umowach problem  odpowiedzialności za produkt niebezpieczny w prawodawstwie UE?</w:t>
      </w:r>
    </w:p>
    <w:p w14:paraId="00E62AA1" w14:textId="318792ED" w:rsidR="006F4340" w:rsidRPr="006F4340" w:rsidRDefault="006F4340" w:rsidP="006F434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Theme="minorHAnsi" w:hAnsiTheme="minorHAnsi"/>
          <w:b/>
          <w:color w:val="003399"/>
          <w:sz w:val="20"/>
          <w:szCs w:val="20"/>
        </w:rPr>
      </w:pPr>
      <w:r w:rsidRPr="006F4340">
        <w:rPr>
          <w:rFonts w:asciiTheme="minorHAnsi" w:hAnsiTheme="minorHAnsi"/>
          <w:b/>
          <w:color w:val="003399"/>
          <w:sz w:val="20"/>
          <w:szCs w:val="20"/>
        </w:rPr>
        <w:t>USTALANIE SPOSOBU ROZSTRZYGANIA SPRAW SPORNYCH W OBROCIE Z ZAGRANICĄ.</w:t>
      </w:r>
    </w:p>
    <w:p w14:paraId="18FE23E7" w14:textId="77777777" w:rsidR="006F4340" w:rsidRPr="006F62BC" w:rsidRDefault="006F4340" w:rsidP="006F4340">
      <w:pPr>
        <w:pStyle w:val="Akapitzlist"/>
        <w:numPr>
          <w:ilvl w:val="0"/>
          <w:numId w:val="35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Kiedy warto wynegocjować sąd państwowy a kiedy arbitraż?</w:t>
      </w:r>
    </w:p>
    <w:p w14:paraId="68B41E59" w14:textId="77777777" w:rsidR="006F4340" w:rsidRPr="006F62BC" w:rsidRDefault="006F4340" w:rsidP="006F4340">
      <w:pPr>
        <w:pStyle w:val="Akapitzlist"/>
        <w:numPr>
          <w:ilvl w:val="0"/>
          <w:numId w:val="35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Dlaczego czasami nie należy wybierać sądu czy arbitrażu we własnym kraju?</w:t>
      </w:r>
    </w:p>
    <w:p w14:paraId="60FD21F8" w14:textId="77777777" w:rsidR="006F4340" w:rsidRPr="006F62BC" w:rsidRDefault="006F4340" w:rsidP="006F4340">
      <w:pPr>
        <w:pStyle w:val="Akapitzlist"/>
        <w:numPr>
          <w:ilvl w:val="0"/>
          <w:numId w:val="35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Jakie postanowienia Konwencji nowojorskiej są kluczowe przy wyborze sądów arbitrażowych?</w:t>
      </w:r>
    </w:p>
    <w:p w14:paraId="6A0D2353" w14:textId="77777777" w:rsidR="006F4340" w:rsidRPr="006F62BC" w:rsidRDefault="006F4340" w:rsidP="006F4340">
      <w:pPr>
        <w:pStyle w:val="Akapitzlist"/>
        <w:numPr>
          <w:ilvl w:val="0"/>
          <w:numId w:val="35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Co to jest tzw. organ kompetentny do rozstrzygania sporów zagranicznych?</w:t>
      </w:r>
    </w:p>
    <w:p w14:paraId="15110723" w14:textId="77777777" w:rsidR="006F4340" w:rsidRPr="006F62BC" w:rsidRDefault="006F4340" w:rsidP="006F4340">
      <w:pPr>
        <w:pStyle w:val="Akapitzlist"/>
        <w:numPr>
          <w:ilvl w:val="0"/>
          <w:numId w:val="35"/>
        </w:numPr>
        <w:spacing w:after="24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6F62BC">
        <w:rPr>
          <w:rFonts w:asciiTheme="minorHAnsi" w:hAnsiTheme="minorHAnsi"/>
          <w:sz w:val="20"/>
          <w:szCs w:val="20"/>
        </w:rPr>
        <w:t>W jaki sposób zabezpieczać skuteczne dochodzenie roszczeń wobec partnerów z odległych rynków?</w:t>
      </w:r>
    </w:p>
    <w:p w14:paraId="494B9757" w14:textId="77777777" w:rsidR="006F4340" w:rsidRPr="006F4340" w:rsidRDefault="006F4340" w:rsidP="006F4340">
      <w:pPr>
        <w:spacing w:after="120"/>
        <w:ind w:right="23"/>
        <w:rPr>
          <w:rFonts w:ascii="Calibri" w:hAnsi="Calibri"/>
          <w:b/>
          <w:iCs/>
          <w:color w:val="003399"/>
          <w:sz w:val="20"/>
          <w:szCs w:val="20"/>
        </w:rPr>
      </w:pPr>
      <w:r w:rsidRPr="006F4340">
        <w:rPr>
          <w:rFonts w:ascii="Calibri" w:hAnsi="Calibri"/>
          <w:b/>
          <w:iCs/>
          <w:color w:val="003399"/>
          <w:sz w:val="20"/>
          <w:szCs w:val="20"/>
        </w:rPr>
        <w:t>Analiza przypadków (CASE STUDY):</w:t>
      </w:r>
    </w:p>
    <w:p w14:paraId="73F9C556" w14:textId="77777777" w:rsidR="006F4340" w:rsidRPr="006F62BC" w:rsidRDefault="006F4340" w:rsidP="006F4340">
      <w:pPr>
        <w:pStyle w:val="Akapitzlist"/>
        <w:numPr>
          <w:ilvl w:val="0"/>
          <w:numId w:val="36"/>
        </w:numPr>
        <w:ind w:right="23"/>
        <w:rPr>
          <w:rFonts w:ascii="Calibri" w:hAnsi="Calibri"/>
          <w:sz w:val="20"/>
          <w:szCs w:val="20"/>
        </w:rPr>
      </w:pPr>
      <w:r w:rsidRPr="006F62BC">
        <w:rPr>
          <w:rFonts w:ascii="Calibri" w:hAnsi="Calibri"/>
          <w:bCs/>
          <w:iCs/>
          <w:sz w:val="20"/>
          <w:szCs w:val="20"/>
        </w:rPr>
        <w:t>praktyczna analiza</w:t>
      </w:r>
      <w:r w:rsidRPr="006F62BC">
        <w:rPr>
          <w:rFonts w:ascii="Calibri" w:hAnsi="Calibri"/>
          <w:sz w:val="20"/>
          <w:szCs w:val="20"/>
        </w:rPr>
        <w:t xml:space="preserve"> konkretnych przypadków i zapisów w umowach z partnerem zagranicznym,</w:t>
      </w:r>
    </w:p>
    <w:p w14:paraId="50146130" w14:textId="77777777" w:rsidR="006F4340" w:rsidRPr="006F62BC" w:rsidRDefault="006F4340" w:rsidP="006F4340">
      <w:pPr>
        <w:pStyle w:val="Akapitzlist"/>
        <w:numPr>
          <w:ilvl w:val="0"/>
          <w:numId w:val="36"/>
        </w:numPr>
        <w:ind w:right="23"/>
        <w:rPr>
          <w:rFonts w:ascii="Calibri" w:hAnsi="Calibri"/>
          <w:bCs/>
          <w:iCs/>
          <w:sz w:val="20"/>
          <w:szCs w:val="20"/>
        </w:rPr>
      </w:pPr>
      <w:r w:rsidRPr="006F62BC">
        <w:rPr>
          <w:rFonts w:ascii="Calibri" w:hAnsi="Calibri"/>
          <w:bCs/>
          <w:iCs/>
          <w:sz w:val="20"/>
          <w:szCs w:val="20"/>
        </w:rPr>
        <w:t>analiza dokumentów stosowanych w handlu zagranicznym,</w:t>
      </w:r>
    </w:p>
    <w:p w14:paraId="38E14C79" w14:textId="77777777" w:rsidR="006F4340" w:rsidRPr="006F62BC" w:rsidRDefault="006F4340" w:rsidP="006F4340">
      <w:pPr>
        <w:pStyle w:val="Akapitzlist"/>
        <w:numPr>
          <w:ilvl w:val="0"/>
          <w:numId w:val="36"/>
        </w:numPr>
        <w:spacing w:after="120"/>
        <w:ind w:right="23"/>
        <w:rPr>
          <w:rFonts w:ascii="Calibri" w:hAnsi="Calibri"/>
          <w:sz w:val="20"/>
          <w:szCs w:val="20"/>
        </w:rPr>
      </w:pPr>
      <w:r w:rsidRPr="006F62BC">
        <w:rPr>
          <w:rFonts w:ascii="Calibri" w:hAnsi="Calibri"/>
          <w:bCs/>
          <w:iCs/>
          <w:sz w:val="20"/>
          <w:szCs w:val="20"/>
        </w:rPr>
        <w:t>omówienie konkretnych sytuacji na podstawie zdjęć z portów, magazynów, składów celnych, terminali kontenerowych.</w:t>
      </w:r>
    </w:p>
    <w:p w14:paraId="363F9639" w14:textId="77777777" w:rsidR="006F4340" w:rsidRPr="006F62BC" w:rsidRDefault="006F4340" w:rsidP="006F4340">
      <w:pPr>
        <w:spacing w:before="240" w:after="240"/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6F62BC">
        <w:rPr>
          <w:rFonts w:ascii="Calibri" w:hAnsi="Calibri"/>
          <w:bCs/>
          <w:iCs/>
          <w:sz w:val="18"/>
          <w:szCs w:val="18"/>
        </w:rPr>
        <w:t>Program nie stanowi harmonogramu i tematy są omawiane w różnej, aczkolwiek logicznej kolejności oraz rozwijane zgodnie z zainteresowaniem uczestników. W trakcie szkolenia odpowiedzi na pytania uczestników dokonywane są na bieżąco. Uczestnicy otrzymują obszerny komplet materiałów do wykorzystania w praktyce</w:t>
      </w:r>
      <w:r w:rsidRPr="006F62BC">
        <w:rPr>
          <w:rFonts w:ascii="Calibri" w:hAnsi="Calibri"/>
          <w:bCs/>
          <w:iCs/>
          <w:sz w:val="20"/>
          <w:szCs w:val="20"/>
        </w:rPr>
        <w:t xml:space="preserve">. </w:t>
      </w:r>
    </w:p>
    <w:p w14:paraId="4072E17F" w14:textId="77777777" w:rsidR="006F4340" w:rsidRPr="006F62BC" w:rsidRDefault="006F4340" w:rsidP="006F4340">
      <w:pPr>
        <w:numPr>
          <w:ilvl w:val="2"/>
          <w:numId w:val="26"/>
        </w:numPr>
        <w:rPr>
          <w:rFonts w:ascii="Calibri" w:hAnsi="Calibri"/>
          <w:bCs/>
          <w:iCs/>
          <w:sz w:val="20"/>
          <w:szCs w:val="20"/>
        </w:rPr>
      </w:pPr>
      <w:r w:rsidRPr="006F62BC">
        <w:rPr>
          <w:rFonts w:ascii="Calibri" w:hAnsi="Calibri"/>
          <w:b/>
          <w:iCs/>
          <w:sz w:val="20"/>
          <w:szCs w:val="20"/>
        </w:rPr>
        <w:t>DODATKOWO!</w:t>
      </w:r>
      <w:r w:rsidRPr="006F62BC">
        <w:rPr>
          <w:rFonts w:ascii="Calibri" w:hAnsi="Calibri"/>
          <w:bCs/>
          <w:iCs/>
          <w:sz w:val="20"/>
          <w:szCs w:val="20"/>
        </w:rPr>
        <w:t xml:space="preserve"> Konsultacje po szkoleniu przez Internet. </w:t>
      </w:r>
    </w:p>
    <w:p w14:paraId="1241A858" w14:textId="77777777" w:rsidR="006F4340" w:rsidRPr="006F62BC" w:rsidRDefault="006F4340" w:rsidP="006F4340">
      <w:pPr>
        <w:numPr>
          <w:ilvl w:val="2"/>
          <w:numId w:val="26"/>
        </w:numPr>
        <w:spacing w:after="360"/>
        <w:rPr>
          <w:rFonts w:ascii="Calibri" w:hAnsi="Calibri"/>
          <w:b/>
          <w:iCs/>
          <w:sz w:val="20"/>
          <w:szCs w:val="20"/>
        </w:rPr>
      </w:pPr>
      <w:r w:rsidRPr="006F62BC">
        <w:rPr>
          <w:rFonts w:ascii="Calibri" w:hAnsi="Calibri"/>
          <w:bCs/>
          <w:iCs/>
          <w:sz w:val="20"/>
          <w:szCs w:val="20"/>
        </w:rPr>
        <w:t xml:space="preserve">Zachęcamy uczestników do przesyłania pytań związanych z tematyką szkolenia na minimum 10 dni przed </w:t>
      </w:r>
      <w:proofErr w:type="spellStart"/>
      <w:r w:rsidRPr="006F62BC">
        <w:rPr>
          <w:rFonts w:ascii="Calibri" w:hAnsi="Calibri"/>
          <w:bCs/>
          <w:iCs/>
          <w:sz w:val="20"/>
          <w:szCs w:val="20"/>
        </w:rPr>
        <w:t>jegoterminem</w:t>
      </w:r>
      <w:proofErr w:type="spellEnd"/>
      <w:r w:rsidRPr="006F62BC">
        <w:rPr>
          <w:rFonts w:ascii="Calibri" w:hAnsi="Calibri"/>
          <w:b/>
          <w:iCs/>
          <w:sz w:val="20"/>
          <w:szCs w:val="20"/>
        </w:rPr>
        <w:t>.</w:t>
      </w:r>
    </w:p>
    <w:p w14:paraId="4852436B" w14:textId="77777777" w:rsidR="006F4340" w:rsidRDefault="006F4340" w:rsidP="006F4340">
      <w:pPr>
        <w:shd w:val="clear" w:color="auto" w:fill="FFFFFF" w:themeFill="background1"/>
        <w:spacing w:before="360" w:after="120"/>
        <w:jc w:val="both"/>
        <w:rPr>
          <w:rFonts w:ascii="Calibri" w:hAnsi="Calibri"/>
          <w:b/>
          <w:iCs/>
          <w:color w:val="003399"/>
          <w:sz w:val="20"/>
          <w:szCs w:val="20"/>
        </w:rPr>
      </w:pPr>
    </w:p>
    <w:p w14:paraId="6841C36B" w14:textId="77777777" w:rsidR="006C4953" w:rsidRPr="009F1754" w:rsidRDefault="006C4953" w:rsidP="004A56AC">
      <w:pPr>
        <w:shd w:val="clear" w:color="auto" w:fill="003399"/>
        <w:spacing w:after="60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9F1754">
        <w:rPr>
          <w:rFonts w:ascii="Calibri" w:hAnsi="Calibri"/>
          <w:b/>
          <w:color w:val="FFFFFF" w:themeColor="background1"/>
          <w:sz w:val="20"/>
          <w:szCs w:val="20"/>
        </w:rPr>
        <w:t>PROWADZĄCY: Dr Wojciech Budzyński</w:t>
      </w:r>
      <w:r w:rsidRPr="009F1754">
        <w:rPr>
          <w:rFonts w:ascii="Calibri" w:hAnsi="Calibri"/>
          <w:color w:val="FFFFFF" w:themeColor="background1"/>
          <w:sz w:val="20"/>
          <w:szCs w:val="20"/>
        </w:rPr>
        <w:t xml:space="preserve">. </w:t>
      </w:r>
    </w:p>
    <w:p w14:paraId="3DF2BB82" w14:textId="0A5EBD4A" w:rsidR="006C4953" w:rsidRPr="009F1754" w:rsidRDefault="006C4953" w:rsidP="00B0129B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9F1754">
        <w:rPr>
          <w:rFonts w:asciiTheme="minorHAnsi" w:hAnsiTheme="minorHAnsi"/>
          <w:b/>
          <w:bCs/>
          <w:sz w:val="20"/>
          <w:szCs w:val="20"/>
          <w:lang w:eastAsia="en-US"/>
        </w:rPr>
        <w:t xml:space="preserve">Jest uznanym specjalistą w zakresie negocjowania i zawierania umów handlowych z partnerem krajowym i zagranicznym. Wiedzę praktyczną zdobywał przez ponad 30 lat jako handlowiec, dyrektor firmy handlowej, kolejno szef jej dwóch oddziałów za granicą, doradca ministra, starszy ekspert Banku Światowego. Zagadnieniami tymi zajmuje się zarówno w sposób praktyczny, jak </w:t>
      </w:r>
      <w:r w:rsidR="009F1754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</w:t>
      </w:r>
      <w:r w:rsidR="008B57DC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                               </w:t>
      </w:r>
      <w:r w:rsidRPr="009F1754">
        <w:rPr>
          <w:rFonts w:asciiTheme="minorHAnsi" w:hAnsiTheme="minorHAnsi"/>
          <w:b/>
          <w:bCs/>
          <w:sz w:val="20"/>
          <w:szCs w:val="20"/>
          <w:lang w:eastAsia="en-US"/>
        </w:rPr>
        <w:t>i naukowy, pracując w Szkole Głównej Handlowej w Warszawie.</w:t>
      </w:r>
      <w:r w:rsidRPr="009F1754">
        <w:rPr>
          <w:rFonts w:asciiTheme="minorHAnsi" w:hAnsiTheme="minorHAnsi"/>
          <w:sz w:val="20"/>
          <w:szCs w:val="20"/>
          <w:lang w:eastAsia="en-US"/>
        </w:rPr>
        <w:t xml:space="preserve"> Jest długoletnim doradcą wielu firm polskich i międzynarodowych korporacji w Polsce, w tym w zakresie negocjacji z partnerami zagranicznymi oraz analizy umów pod względem pułapek </w:t>
      </w:r>
      <w:r w:rsidR="009F1754">
        <w:rPr>
          <w:rFonts w:asciiTheme="minorHAnsi" w:hAnsiTheme="minorHAnsi"/>
          <w:sz w:val="20"/>
          <w:szCs w:val="20"/>
          <w:lang w:eastAsia="en-US"/>
        </w:rPr>
        <w:t xml:space="preserve">                              </w:t>
      </w:r>
      <w:r w:rsidR="008B57DC">
        <w:rPr>
          <w:rFonts w:asciiTheme="minorHAnsi" w:hAnsiTheme="minorHAnsi"/>
          <w:sz w:val="20"/>
          <w:szCs w:val="20"/>
          <w:lang w:eastAsia="en-US"/>
        </w:rPr>
        <w:t xml:space="preserve">                  </w:t>
      </w:r>
      <w:r w:rsidR="009F1754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Pr="009F1754">
        <w:rPr>
          <w:rFonts w:asciiTheme="minorHAnsi" w:hAnsiTheme="minorHAnsi"/>
          <w:sz w:val="20"/>
          <w:szCs w:val="20"/>
          <w:lang w:eastAsia="en-US"/>
        </w:rPr>
        <w:t xml:space="preserve">i niekorzystnych sformułowań. Prowadził negocjacje handlowe z przedstawicielami różnych kultur. </w:t>
      </w:r>
    </w:p>
    <w:p w14:paraId="241049B0" w14:textId="2A629390" w:rsidR="006C4953" w:rsidRPr="009F1754" w:rsidRDefault="006C4953" w:rsidP="006C4953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9F1754">
        <w:rPr>
          <w:rFonts w:asciiTheme="minorHAnsi" w:hAnsiTheme="minorHAnsi"/>
          <w:sz w:val="20"/>
          <w:szCs w:val="20"/>
          <w:lang w:eastAsia="en-US"/>
        </w:rPr>
        <w:t xml:space="preserve">Przeszkolił kilkadziesiąt tysięcy menedżerów i handlowców oraz napisał 60 książek, wydanych w kraju i za granicą, w tym poświęcone akredytywie i innym zabezpieczeniom finansowym transakcji. Szczególnym powodzeniem na rynku cieszyła się książka „ Leksykon handlu zagranicznego – rozliczenia i finanse”, zawierająca najszerszy w literaturze przegląd zabezpieczeń finansowych </w:t>
      </w:r>
      <w:r w:rsidR="004C0316">
        <w:rPr>
          <w:rFonts w:asciiTheme="minorHAnsi" w:hAnsiTheme="minorHAnsi"/>
          <w:sz w:val="20"/>
          <w:szCs w:val="20"/>
          <w:lang w:eastAsia="en-US"/>
        </w:rPr>
        <w:t xml:space="preserve">                 </w:t>
      </w:r>
      <w:r w:rsidR="008B57DC">
        <w:rPr>
          <w:rFonts w:asciiTheme="minorHAnsi" w:hAnsiTheme="minorHAnsi"/>
          <w:sz w:val="20"/>
          <w:szCs w:val="20"/>
          <w:lang w:eastAsia="en-US"/>
        </w:rPr>
        <w:t xml:space="preserve">                                   </w:t>
      </w:r>
      <w:r w:rsidRPr="009F1754">
        <w:rPr>
          <w:rFonts w:asciiTheme="minorHAnsi" w:hAnsiTheme="minorHAnsi"/>
          <w:sz w:val="20"/>
          <w:szCs w:val="20"/>
          <w:lang w:eastAsia="en-US"/>
        </w:rPr>
        <w:t>i sposobów rozliczeń transakcji (m.in. dokładną analizę 47 rodzajów akredytyw czy 19 rodzajów inkasa).</w:t>
      </w:r>
    </w:p>
    <w:p w14:paraId="1FE7A827" w14:textId="58060D76" w:rsidR="006C4953" w:rsidRPr="009F1754" w:rsidRDefault="006C4953" w:rsidP="006C4953">
      <w:pPr>
        <w:spacing w:before="120"/>
        <w:jc w:val="both"/>
        <w:rPr>
          <w:rFonts w:ascii="Calibri" w:hAnsi="Calibri"/>
          <w:color w:val="003366"/>
          <w:sz w:val="20"/>
          <w:szCs w:val="20"/>
        </w:rPr>
      </w:pPr>
      <w:r w:rsidRPr="009F1754">
        <w:rPr>
          <w:rFonts w:asciiTheme="minorHAnsi" w:hAnsiTheme="minorHAnsi"/>
          <w:sz w:val="20"/>
          <w:szCs w:val="20"/>
          <w:lang w:eastAsia="en-US"/>
        </w:rPr>
        <w:t>Inne pozycje autorstwa dr Wojciecha Budzyńskiego poświęconych tematyce handlowej to, m.in.: „Eksport w prz</w:t>
      </w:r>
      <w:r w:rsidR="004C0316">
        <w:rPr>
          <w:rFonts w:asciiTheme="minorHAnsi" w:hAnsiTheme="minorHAnsi"/>
          <w:sz w:val="20"/>
          <w:szCs w:val="20"/>
          <w:lang w:eastAsia="en-US"/>
        </w:rPr>
        <w:t xml:space="preserve">edsiębiorstwie” (2016), „Zakupy </w:t>
      </w:r>
      <w:r w:rsidRPr="009F1754">
        <w:rPr>
          <w:rFonts w:asciiTheme="minorHAnsi" w:hAnsiTheme="minorHAnsi"/>
          <w:sz w:val="20"/>
          <w:szCs w:val="20"/>
          <w:lang w:eastAsia="en-US"/>
        </w:rPr>
        <w:t xml:space="preserve">w przedsiębiorstwie” (2016) „Negocjowanie i zawieranie umów handlowych.” (wydanie elektroniczne EBOOK 2015),  „Umowy  w handlu krajowym i zagranicznym. Nowe bazy dostawy, pułapki, zabezpieczenia.” (2015), „Negocjowanie </w:t>
      </w:r>
      <w:r w:rsidR="008B57DC">
        <w:rPr>
          <w:rFonts w:asciiTheme="minorHAnsi" w:hAnsiTheme="minorHAnsi"/>
          <w:sz w:val="20"/>
          <w:szCs w:val="20"/>
          <w:lang w:eastAsia="en-US"/>
        </w:rPr>
        <w:t xml:space="preserve">                                       </w:t>
      </w:r>
      <w:r w:rsidRPr="009F1754">
        <w:rPr>
          <w:rFonts w:asciiTheme="minorHAnsi" w:hAnsiTheme="minorHAnsi"/>
          <w:sz w:val="20"/>
          <w:szCs w:val="20"/>
          <w:lang w:eastAsia="en-US"/>
        </w:rPr>
        <w:t xml:space="preserve">i zawieranie umów handlowych. Analiza uwarunkowań,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ryzyk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 xml:space="preserve">, pułapek i zabezpieczeń.”, Biblioteka Nowoczesnego Menedżera (2014), „Handel zagraniczny dla menedżerów.”, „Prawo międzynarodowe. Transakcje międzynarodowe.” Podręcznik na Studia MBA, „Międzynarodowe reguły realizacji kontraktu.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Combiterms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 xml:space="preserve">. Amerykańskie Definicje Handlowe RAFTD.”, „Poradnik eksportera komponentów.”, „Słownik dokumentów handlu zagranicznego. Opis i wzory dokumentów.”, „Eksport – import według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 xml:space="preserve">.” „Realizacja kontraktu importowego i eksportowego.”, „Realizacja transakcji importowej.”, „Wykładnia terminów handlowych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>.”</w:t>
      </w:r>
    </w:p>
    <w:p w14:paraId="23189BD5" w14:textId="2AB617A3" w:rsidR="00935D93" w:rsidRDefault="00935D93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26B57EEA" w14:textId="1BD2A16A" w:rsidR="00B0129B" w:rsidRDefault="00B0129B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7A872124" w14:textId="2D0F66C7" w:rsidR="00B0129B" w:rsidRDefault="00B0129B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42E6AE25" w14:textId="26B390B8" w:rsidR="00B0129B" w:rsidRDefault="00B0129B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51C39D10" w14:textId="223711DB" w:rsidR="00B0129B" w:rsidRDefault="00B0129B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35B4C4D8" w14:textId="67C78D9A" w:rsidR="0035057E" w:rsidRDefault="0035057E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5F0515BB" w14:textId="77777777" w:rsidR="003907A1" w:rsidRPr="00903A32" w:rsidRDefault="003907A1" w:rsidP="005C72B0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611F9168" w14:textId="77777777" w:rsidR="003907A1" w:rsidRPr="004C09D3" w:rsidRDefault="003907A1" w:rsidP="004C09D3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4C09D3">
        <w:rPr>
          <w:rFonts w:ascii="Calibri" w:hAnsi="Calibri"/>
          <w:b/>
          <w:bCs/>
          <w:color w:val="FFFFFF"/>
          <w:sz w:val="18"/>
          <w:szCs w:val="18"/>
        </w:rPr>
        <w:t>SZKOLENIA ZAMKNIĘTE</w:t>
      </w:r>
    </w:p>
    <w:p w14:paraId="131A20E5" w14:textId="102A5471" w:rsidR="003907A1" w:rsidRPr="004C09D3" w:rsidRDefault="003907A1" w:rsidP="005C72B0">
      <w:pPr>
        <w:shd w:val="clear" w:color="auto" w:fill="003399"/>
        <w:ind w:right="6"/>
        <w:jc w:val="center"/>
        <w:rPr>
          <w:sz w:val="18"/>
          <w:szCs w:val="18"/>
        </w:rPr>
      </w:pPr>
      <w:r w:rsidRPr="004C09D3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TEGO SZKOLENIA  W SWOJEJ FIRMIE </w:t>
      </w:r>
      <w:r w:rsidR="001E122F" w:rsidRPr="004C09D3">
        <w:rPr>
          <w:rFonts w:ascii="Calibri" w:hAnsi="Calibri"/>
          <w:b/>
          <w:bCs/>
          <w:color w:val="FFC000"/>
          <w:sz w:val="18"/>
          <w:szCs w:val="18"/>
        </w:rPr>
        <w:t>(TAKŻE ONLINE)</w:t>
      </w:r>
      <w:r w:rsidR="001E122F" w:rsidRPr="004C09D3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4C09D3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                          </w:t>
      </w:r>
      <w:r w:rsidRPr="004C09D3">
        <w:rPr>
          <w:rFonts w:ascii="Calibri" w:hAnsi="Calibri"/>
          <w:b/>
          <w:bCs/>
          <w:color w:val="FFFFFF"/>
          <w:sz w:val="18"/>
          <w:szCs w:val="18"/>
        </w:rPr>
        <w:t>PROSIMY O KONTAKT TELEFONICZNY: 22 853 35 23, TEL. KOM.: 607 573 053 LUB E-MAIL</w:t>
      </w:r>
      <w:r w:rsidRPr="004C09D3">
        <w:rPr>
          <w:rFonts w:ascii="Calibri" w:hAnsi="Calibri"/>
          <w:b/>
          <w:bCs/>
          <w:color w:val="FFFFFF" w:themeColor="background1"/>
          <w:sz w:val="18"/>
          <w:szCs w:val="18"/>
        </w:rPr>
        <w:t xml:space="preserve">: </w:t>
      </w:r>
      <w:hyperlink r:id="rId7" w:history="1">
        <w:r w:rsidRPr="004C09D3">
          <w:rPr>
            <w:rStyle w:val="Hipercze"/>
            <w:rFonts w:ascii="Calibri" w:hAnsi="Calibri"/>
            <w:b/>
            <w:bCs/>
            <w:color w:val="FFFFFF" w:themeColor="background1"/>
            <w:sz w:val="18"/>
            <w:szCs w:val="18"/>
          </w:rPr>
          <w:t>atl@atl.edu.pl</w:t>
        </w:r>
      </w:hyperlink>
    </w:p>
    <w:p w14:paraId="6C6CAA0F" w14:textId="77777777" w:rsidR="003907A1" w:rsidRDefault="003907A1" w:rsidP="005C72B0">
      <w:pPr>
        <w:shd w:val="clear" w:color="auto" w:fill="003399"/>
        <w:ind w:right="6"/>
      </w:pPr>
    </w:p>
    <w:p w14:paraId="1FC4FC7C" w14:textId="77777777" w:rsidR="003907A1" w:rsidRPr="005C72B0" w:rsidRDefault="003907A1" w:rsidP="00903A32">
      <w:pPr>
        <w:pStyle w:val="Tekstpodstawowy2"/>
        <w:spacing w:before="120" w:after="60"/>
        <w:jc w:val="both"/>
        <w:rPr>
          <w:rFonts w:ascii="Calibri" w:hAnsi="Calibri"/>
          <w:b/>
          <w:bCs/>
          <w:i/>
          <w:iCs/>
          <w:color w:val="003399"/>
          <w:sz w:val="20"/>
          <w:szCs w:val="20"/>
        </w:rPr>
      </w:pPr>
      <w:r w:rsidRPr="005C72B0">
        <w:rPr>
          <w:rFonts w:ascii="Calibri" w:hAnsi="Calibri"/>
          <w:b/>
          <w:bCs/>
          <w:i/>
          <w:iCs/>
          <w:color w:val="003399"/>
          <w:sz w:val="20"/>
          <w:szCs w:val="20"/>
        </w:rPr>
        <w:t>Szkolenia zamknięte organizowaliśmy m.in. dla:</w:t>
      </w:r>
    </w:p>
    <w:p w14:paraId="274B60AA" w14:textId="77777777" w:rsidR="00897CC2" w:rsidRDefault="00897CC2" w:rsidP="005C72B0">
      <w:pPr>
        <w:shd w:val="clear" w:color="auto" w:fill="FFFFFF" w:themeFill="background1"/>
        <w:jc w:val="center"/>
        <w:rPr>
          <w:rFonts w:ascii="Calibri" w:hAnsi="Calibri"/>
          <w:b/>
          <w:color w:val="FFFFFF"/>
          <w:sz w:val="20"/>
          <w:szCs w:val="20"/>
        </w:rPr>
        <w:sectPr w:rsidR="00897CC2" w:rsidSect="00897CC2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308E0393" w14:textId="77777777" w:rsidR="004C09D3" w:rsidRPr="0046290F" w:rsidRDefault="004C09D3" w:rsidP="004C09D3">
      <w:pPr>
        <w:pStyle w:val="Tekstpodstawowy2"/>
        <w:numPr>
          <w:ilvl w:val="0"/>
          <w:numId w:val="3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ABB Sp. z o.o.,</w:t>
      </w:r>
    </w:p>
    <w:p w14:paraId="532BDBC5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549AE55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555D0D1A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6DCC77C2" w14:textId="77777777" w:rsidR="004C09D3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Agrifeed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581B3B1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ALK-</w:t>
      </w:r>
      <w:proofErr w:type="spellStart"/>
      <w:r>
        <w:rPr>
          <w:rFonts w:ascii="Calibri" w:hAnsi="Calibri"/>
          <w:i/>
          <w:iCs/>
          <w:sz w:val="14"/>
          <w:szCs w:val="14"/>
        </w:rPr>
        <w:t>Abello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27B6FE0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323C4B7A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4E28679A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ALTADIS POLSKA S.A.,</w:t>
      </w:r>
    </w:p>
    <w:p w14:paraId="7F1B687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5982ADA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054D1AEB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7A0E59C6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OBR Sp. z o.o., </w:t>
      </w:r>
    </w:p>
    <w:p w14:paraId="1396E7CF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Bahlsen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1F47B2D0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BGŻ BNP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Paribas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 </w:t>
      </w:r>
    </w:p>
    <w:p w14:paraId="1CA39B66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4B8D569F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BARLINEK S.A.,</w:t>
      </w:r>
    </w:p>
    <w:p w14:paraId="0840DEF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Basell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Orlen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Polyolefins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BB57A7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3C285344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BELL P.P.H.U.,</w:t>
      </w:r>
    </w:p>
    <w:p w14:paraId="720F3356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Bischof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+ Klein Polska GmbH,</w:t>
      </w:r>
    </w:p>
    <w:p w14:paraId="4C317010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1FA4FF8A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Capgemini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17EC0FE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562BB2D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6577CCD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Cereal Partners Poland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Toruń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-Pacific Sp. z o.o.,</w:t>
      </w:r>
    </w:p>
    <w:p w14:paraId="3FFA8144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CHEMNOVATIC Sp. z o.o., Sp. k.,</w:t>
      </w:r>
    </w:p>
    <w:p w14:paraId="083DDEC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CIECH S.A.,</w:t>
      </w:r>
    </w:p>
    <w:p w14:paraId="4898404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0" w:name="_Hlk24966690"/>
      <w:r w:rsidRPr="0046290F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13E792CE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CP GLASS S.A.,</w:t>
      </w:r>
    </w:p>
    <w:bookmarkEnd w:id="0"/>
    <w:p w14:paraId="35F7B19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7A64D60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0972D0A3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Dajar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4BAC2D4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5BD0E8A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DB Cargo Polska S.A.,</w:t>
      </w:r>
    </w:p>
    <w:p w14:paraId="787B0E6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Logistic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3E3C82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74815DA5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21F283F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Dedra-Exim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FBD92D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DEMIURG s.c.,</w:t>
      </w:r>
    </w:p>
    <w:p w14:paraId="56B72276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DONE Deliveries Misiek i Wspólnicy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.,</w:t>
      </w:r>
    </w:p>
    <w:p w14:paraId="4AB1F97C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28BCE41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7187ECBF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06924EC8" w14:textId="77777777" w:rsidR="004C09D3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35E4F7A5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ENERIS Surowce S.A.,</w:t>
      </w:r>
    </w:p>
    <w:p w14:paraId="2BFD362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EnerSys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2C126AE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599AF9E0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2970F2CC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6D1F4F94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653CC7F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Famot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Pleszew Sp. z o.o.,</w:t>
      </w:r>
    </w:p>
    <w:p w14:paraId="67CF470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730"/>
      <w:r w:rsidRPr="0046290F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1"/>
    <w:p w14:paraId="15E4FFFC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Federal-Mogul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Bimet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0D3D269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 – 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Gorzyce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7DFF141F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3DB3E737" w14:textId="77777777" w:rsidR="004C09D3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39BA0FDC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GP ECO Sp. z o.o.,</w:t>
      </w:r>
    </w:p>
    <w:p w14:paraId="31FF2D76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FLSmidth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MAAG Gear Sp. z o.o.,</w:t>
      </w:r>
    </w:p>
    <w:p w14:paraId="257FC6BC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GDDKiA,</w:t>
      </w:r>
    </w:p>
    <w:p w14:paraId="31F7DCFC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0CE57C5A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5AE04323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Glencore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687C89A0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0CB8BF4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268DEB5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2D895FF0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Topex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A32480B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GWW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Grynhoff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i Partnerzy Radcowie Prawni</w:t>
      </w:r>
      <w:r>
        <w:rPr>
          <w:rFonts w:ascii="Calibri" w:hAnsi="Calibri"/>
          <w:i/>
          <w:iCs/>
          <w:sz w:val="14"/>
          <w:szCs w:val="14"/>
        </w:rPr>
        <w:t xml:space="preserve">                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 i Doradcy Sp. P.,</w:t>
      </w:r>
    </w:p>
    <w:p w14:paraId="460276E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679882D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60E1374B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Hamilton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Sundstrand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3B131E60" w14:textId="77777777" w:rsidR="004C09D3" w:rsidRPr="007E03BA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67811274" w14:textId="77777777" w:rsidR="004C09D3" w:rsidRPr="007E03BA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>Hilton Foods Ltd. sp. z o.o.,</w:t>
      </w:r>
    </w:p>
    <w:p w14:paraId="5DADD43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70B3274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23F6E52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„HOLDING-ZREMB”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Gorzów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51C2B81A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Hobas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 Polska Sp. z o.o., </w:t>
      </w:r>
    </w:p>
    <w:p w14:paraId="361DA59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2A66A47E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Igepa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o.o,.</w:t>
      </w:r>
    </w:p>
    <w:p w14:paraId="3EC13B4F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ILS Sp. z o.o.,</w:t>
      </w:r>
    </w:p>
    <w:p w14:paraId="160D0EC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IMPEL S.A.,</w:t>
      </w:r>
    </w:p>
    <w:p w14:paraId="0DFBDFC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12C48AB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190A7BE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423F21B5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0AFCF4B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IPSEN LOGISTICS Sp. z o.o.,</w:t>
      </w:r>
    </w:p>
    <w:p w14:paraId="25451A20" w14:textId="77777777" w:rsidR="004C09D3" w:rsidRPr="007E03BA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 xml:space="preserve">JTI Polska Sp. z o.o., </w:t>
      </w:r>
    </w:p>
    <w:p w14:paraId="67080AF3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607"/>
      <w:r w:rsidRPr="0046290F">
        <w:rPr>
          <w:rFonts w:ascii="Calibri" w:hAnsi="Calibri"/>
          <w:i/>
          <w:iCs/>
          <w:sz w:val="14"/>
          <w:szCs w:val="14"/>
        </w:rPr>
        <w:t xml:space="preserve">KABAT TYRE Sp. z o.o.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., </w:t>
      </w:r>
    </w:p>
    <w:bookmarkEnd w:id="2"/>
    <w:p w14:paraId="3A98F780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195BC09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6FF7570F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Kerry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 </w:t>
      </w:r>
    </w:p>
    <w:p w14:paraId="7ED3D93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20416CC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Kongskilde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08F7A92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783"/>
      <w:r w:rsidRPr="0046290F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3"/>
    <w:p w14:paraId="2020E4E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Korporacja KGL S.A.,</w:t>
      </w:r>
    </w:p>
    <w:p w14:paraId="28F96FEB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Kurita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04475E9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Lagardere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Travel Retail Sp. z o.o.,</w:t>
      </w:r>
    </w:p>
    <w:p w14:paraId="4104A6F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Lublindis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A871378" w14:textId="77777777" w:rsidR="004C09D3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Leica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Geosystems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5B02E17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LX </w:t>
      </w:r>
      <w:proofErr w:type="spellStart"/>
      <w:r>
        <w:rPr>
          <w:rFonts w:ascii="Calibri" w:hAnsi="Calibri"/>
          <w:i/>
          <w:iCs/>
          <w:sz w:val="14"/>
          <w:szCs w:val="14"/>
        </w:rPr>
        <w:t>Pantos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188FC01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5DC9C903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213165F0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7F20669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190D078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23E76B64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Maersk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000F938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709B5E5C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Merck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137FD1BB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Metalpol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Węgierska Górka Sp. z o.o.,</w:t>
      </w:r>
    </w:p>
    <w:p w14:paraId="299DC030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MFO S.A.,</w:t>
      </w:r>
    </w:p>
    <w:p w14:paraId="23E2AF55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ML Sp. z o.o.,</w:t>
      </w:r>
    </w:p>
    <w:p w14:paraId="4A6D04B4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54"/>
      <w:proofErr w:type="spellStart"/>
      <w:r w:rsidRPr="0046290F">
        <w:rPr>
          <w:rFonts w:ascii="Calibri" w:hAnsi="Calibri"/>
          <w:i/>
          <w:iCs/>
          <w:sz w:val="14"/>
          <w:szCs w:val="14"/>
        </w:rPr>
        <w:t>Mondi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Świecie S.A.,</w:t>
      </w:r>
    </w:p>
    <w:bookmarkEnd w:id="4"/>
    <w:p w14:paraId="535A496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Monosuisse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9BED05B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384C080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Neapco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Sp. z o.o.,</w:t>
      </w:r>
    </w:p>
    <w:p w14:paraId="57DCCDA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3164894"/>
      <w:bookmarkStart w:id="6" w:name="_Hlk24966825"/>
      <w:r w:rsidRPr="0046290F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5"/>
    </w:p>
    <w:bookmarkEnd w:id="6"/>
    <w:p w14:paraId="4CC9989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6CEECEE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2084B17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1D99D12B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30FA2069" w14:textId="77777777" w:rsidR="004C09D3" w:rsidRPr="007E03BA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>ORLEN Paliwa Sp. z o.o.,</w:t>
      </w:r>
    </w:p>
    <w:p w14:paraId="06BA220E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OS</w:t>
      </w:r>
      <w:r>
        <w:rPr>
          <w:rFonts w:ascii="Calibri" w:hAnsi="Calibri"/>
          <w:i/>
          <w:iCs/>
          <w:sz w:val="14"/>
          <w:szCs w:val="14"/>
        </w:rPr>
        <w:t xml:space="preserve"> </w:t>
      </w:r>
      <w:r w:rsidRPr="0046290F">
        <w:rPr>
          <w:rFonts w:ascii="Calibri" w:hAnsi="Calibri"/>
          <w:i/>
          <w:iCs/>
          <w:sz w:val="14"/>
          <w:szCs w:val="14"/>
        </w:rPr>
        <w:t>Specjalistycznych Straży Granicznej</w:t>
      </w:r>
      <w:r>
        <w:rPr>
          <w:rFonts w:ascii="Calibri" w:hAnsi="Calibri"/>
          <w:i/>
          <w:iCs/>
          <w:sz w:val="14"/>
          <w:szCs w:val="14"/>
        </w:rPr>
        <w:t xml:space="preserve"> </w:t>
      </w:r>
      <w:r w:rsidRPr="0046290F">
        <w:rPr>
          <w:rFonts w:ascii="Calibri" w:hAnsi="Calibri"/>
          <w:i/>
          <w:iCs/>
          <w:sz w:val="14"/>
          <w:szCs w:val="14"/>
        </w:rPr>
        <w:t xml:space="preserve">w Lubaniu, </w:t>
      </w:r>
    </w:p>
    <w:p w14:paraId="2DB9389F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35BDF4D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5365D396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0472FD49" w14:textId="77777777" w:rsidR="004C09D3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Perre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Ren</w:t>
      </w:r>
      <w:r w:rsidRPr="0046290F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A6B7A30" w14:textId="77777777" w:rsidR="004C09D3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183B64C6" w14:textId="77777777" w:rsidR="004C09D3" w:rsidRPr="004B1378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>
        <w:rPr>
          <w:rFonts w:ascii="Calibri" w:hAnsi="Calibri"/>
          <w:i/>
          <w:iCs/>
          <w:sz w:val="14"/>
          <w:szCs w:val="14"/>
          <w:lang w:val="en-US"/>
        </w:rPr>
        <w:t>PERN S.A.,</w:t>
      </w:r>
    </w:p>
    <w:p w14:paraId="3995B18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PKN Orlen S.A.,</w:t>
      </w:r>
    </w:p>
    <w:p w14:paraId="3EC891B0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2F89DA44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56872790" w14:textId="77777777" w:rsidR="004C09D3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POCH S.A.,</w:t>
      </w:r>
    </w:p>
    <w:p w14:paraId="1A05966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Poland </w:t>
      </w:r>
      <w:proofErr w:type="spellStart"/>
      <w:r>
        <w:rPr>
          <w:rFonts w:ascii="Calibri" w:hAnsi="Calibri"/>
          <w:i/>
          <w:iCs/>
          <w:sz w:val="14"/>
          <w:szCs w:val="14"/>
        </w:rPr>
        <w:t>Smelting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Technologies „POLST” Sp. z o.o.,</w:t>
      </w:r>
    </w:p>
    <w:p w14:paraId="6366E39F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Polargos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7D37498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Polcotton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4D0D19DC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Polmlek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AA5E7F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19C0967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7" w:name="_Hlk24966874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Polska Agencja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Żeglugi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Powietrznej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bookmarkEnd w:id="7"/>
    <w:p w14:paraId="0C58513C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333118A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7D8B9ECC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7057FA0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7A2003E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PM</w:t>
      </w:r>
      <w:r>
        <w:rPr>
          <w:rFonts w:ascii="Calibri" w:hAnsi="Calibri"/>
          <w:i/>
          <w:iCs/>
          <w:sz w:val="14"/>
          <w:szCs w:val="14"/>
        </w:rPr>
        <w:t>O</w:t>
      </w:r>
      <w:r w:rsidRPr="0046290F">
        <w:rPr>
          <w:rFonts w:ascii="Calibri" w:hAnsi="Calibri"/>
          <w:i/>
          <w:iCs/>
          <w:sz w:val="14"/>
          <w:szCs w:val="14"/>
        </w:rPr>
        <w:t xml:space="preserve">  „KOMEX” Sp. z o.o., </w:t>
      </w:r>
    </w:p>
    <w:p w14:paraId="3942D6F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543E7D8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7C637BA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PFLEIDERER PROSPAN S.A.,</w:t>
      </w:r>
    </w:p>
    <w:p w14:paraId="0F8C02C0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09523913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RADMOR S.A.,</w:t>
      </w:r>
    </w:p>
    <w:p w14:paraId="32643FA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REJS Sp. z o.o., </w:t>
      </w:r>
    </w:p>
    <w:p w14:paraId="4AEADAE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Rhenus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Logistics S.A., </w:t>
      </w:r>
    </w:p>
    <w:p w14:paraId="2EDBFB8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Remontowa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Hydraulic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Systems Sp. z o.o.,</w:t>
      </w:r>
    </w:p>
    <w:p w14:paraId="484E15D5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Robert Bosch Sp. z o.o., </w:t>
      </w:r>
    </w:p>
    <w:p w14:paraId="76A85C66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Ronal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33EDB4F5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Ryłko Sp. z o.o.,</w:t>
      </w:r>
    </w:p>
    <w:p w14:paraId="4143F73E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Rzeszowskie Zakłady Drobiarskie Res-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Drob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770D000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6DE87EF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8" w:name="_Hlk23164858"/>
      <w:bookmarkStart w:id="9" w:name="_Hlk24967046"/>
      <w:r w:rsidRPr="0046290F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8"/>
    </w:p>
    <w:bookmarkEnd w:id="9"/>
    <w:p w14:paraId="0B5BCA50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SaMASZ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5B6D06D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00AC9DFC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Schattdecor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7935764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130788AB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Sempertrans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Bełchatów Sp. z o.o., </w:t>
      </w:r>
    </w:p>
    <w:p w14:paraId="2312C557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Siemens Sp. z o.o.,</w:t>
      </w:r>
    </w:p>
    <w:p w14:paraId="22295D7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Skandius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7F292CA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1FF627F3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41676394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Spedimex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663F77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STOMIL S.A.,</w:t>
      </w:r>
    </w:p>
    <w:p w14:paraId="341A3E44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6DD397F5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Südzucker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S.A.,</w:t>
      </w:r>
    </w:p>
    <w:p w14:paraId="6979895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Sünkel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Śruby Sp. z o.o.,</w:t>
      </w:r>
    </w:p>
    <w:p w14:paraId="76979C4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31528A43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468EF09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TEMPO TP Sp. z o.o. Sp.k.,</w:t>
      </w:r>
    </w:p>
    <w:p w14:paraId="74B109A0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TI Poland Sp. z o.o.,</w:t>
      </w:r>
    </w:p>
    <w:p w14:paraId="46CB3C7B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7DDC102C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TOYA S.A.,</w:t>
      </w:r>
    </w:p>
    <w:p w14:paraId="7E6571D9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Toyota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Tsusho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S.A., </w:t>
      </w:r>
    </w:p>
    <w:p w14:paraId="14CD9A6E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2EAA268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50950E9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Transcargo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15C9E61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TRW Polska Sp. z o.o.,</w:t>
      </w:r>
    </w:p>
    <w:p w14:paraId="5934B093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TUiR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</w:t>
      </w:r>
    </w:p>
    <w:p w14:paraId="5566E03A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TUnŻ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 </w:t>
      </w:r>
    </w:p>
    <w:p w14:paraId="66B4FACB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TZMO S.A.,</w:t>
      </w:r>
    </w:p>
    <w:p w14:paraId="480622E6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2E75B3A3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Valvex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7479452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Vesuvius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6B5E3025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1769F2F4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VOLVO Polska Sp. z o.o.,</w:t>
      </w:r>
    </w:p>
    <w:p w14:paraId="569A49B0" w14:textId="77777777" w:rsidR="004C09D3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WAMA AB,</w:t>
      </w:r>
    </w:p>
    <w:p w14:paraId="7809D6FA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WEN s.c.,</w:t>
      </w:r>
    </w:p>
    <w:p w14:paraId="2C89203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23A4DCE2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Winterhalter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Gastronom Polska Sp. z o.o.,  </w:t>
      </w:r>
    </w:p>
    <w:p w14:paraId="06BA7EDB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3BA1463D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35107238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Warszawskie Zakłady Farmaceutyczne Polfa S.A., </w:t>
      </w:r>
    </w:p>
    <w:p w14:paraId="52FAA2F0" w14:textId="77777777" w:rsidR="004C09D3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Wojskowe Zakłady Lotnicze Nr 2 S.A.,</w:t>
      </w:r>
    </w:p>
    <w:p w14:paraId="7449ADCC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WPT Polska Sp. z o.o. Sp. k.,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499D586E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Wrocławskie Zakłady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Zielarskie„Herbapol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” S.A., </w:t>
      </w:r>
    </w:p>
    <w:p w14:paraId="34564E67" w14:textId="77777777" w:rsidR="004C09D3" w:rsidRPr="00553C59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Versalis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International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Societe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Anonyme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 </w:t>
      </w:r>
    </w:p>
    <w:p w14:paraId="6E0A821B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242E4AF5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Yara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1EFE6A4E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Aparatury Chemicznej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Chemet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2140E8E3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523308EE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Produkcji Cukierniczej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Vobro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,</w:t>
      </w:r>
    </w:p>
    <w:p w14:paraId="0AEA82B5" w14:textId="77777777" w:rsidR="004C09D3" w:rsidRPr="0046290F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Zbych-Pol &amp; </w:t>
      </w:r>
      <w:proofErr w:type="spellStart"/>
      <w:r w:rsidRPr="0046290F">
        <w:rPr>
          <w:rFonts w:asciiTheme="minorHAnsi" w:hAnsiTheme="minorHAnsi" w:cstheme="minorHAnsi"/>
          <w:i/>
          <w:iCs/>
          <w:sz w:val="14"/>
          <w:szCs w:val="14"/>
        </w:rPr>
        <w:t>Mobet</w:t>
      </w:r>
      <w:proofErr w:type="spellEnd"/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 Sp. z.o.o.,</w:t>
      </w:r>
    </w:p>
    <w:p w14:paraId="272C5792" w14:textId="77777777" w:rsidR="004C09D3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ZENTIS POLSKA Sp. z o.o.</w:t>
      </w:r>
    </w:p>
    <w:p w14:paraId="45CE67DE" w14:textId="39AFC52E" w:rsidR="00903A32" w:rsidRPr="004C09D3" w:rsidRDefault="004C09D3" w:rsidP="004C09D3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903A32" w:rsidRPr="004C09D3" w:rsidSect="004C09D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 w:rsidRPr="004C09D3">
        <w:rPr>
          <w:rFonts w:ascii="Calibri" w:hAnsi="Calibri"/>
          <w:i/>
          <w:iCs/>
          <w:sz w:val="14"/>
          <w:szCs w:val="14"/>
        </w:rPr>
        <w:t>ZMG Sp. z o.o.</w:t>
      </w:r>
    </w:p>
    <w:p w14:paraId="7FA99963" w14:textId="30D47941" w:rsidR="00903A32" w:rsidRPr="00903A32" w:rsidRDefault="00903A32" w:rsidP="00903A32">
      <w:pPr>
        <w:pStyle w:val="Tekstpodstawowy2"/>
        <w:rPr>
          <w:rFonts w:ascii="Calibri" w:hAnsi="Calibri"/>
          <w:i/>
          <w:iCs/>
          <w:sz w:val="14"/>
          <w:szCs w:val="14"/>
        </w:rPr>
        <w:sectPr w:rsidR="00903A32" w:rsidRPr="00903A32" w:rsidSect="00A83D91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tbl>
      <w:tblPr>
        <w:tblW w:w="10789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344"/>
        <w:gridCol w:w="17"/>
      </w:tblGrid>
      <w:tr w:rsidR="00C66560" w14:paraId="006A178C" w14:textId="77777777" w:rsidTr="008154AF">
        <w:trPr>
          <w:gridAfter w:val="1"/>
          <w:wAfter w:w="17" w:type="dxa"/>
          <w:cantSplit/>
          <w:trHeight w:val="354"/>
        </w:trPr>
        <w:tc>
          <w:tcPr>
            <w:tcW w:w="10772" w:type="dxa"/>
            <w:gridSpan w:val="4"/>
            <w:shd w:val="clear" w:color="auto" w:fill="003399"/>
            <w:vAlign w:val="center"/>
          </w:tcPr>
          <w:p w14:paraId="778690B3" w14:textId="77777777" w:rsidR="00C66560" w:rsidRPr="00BE5877" w:rsidRDefault="00C66560" w:rsidP="005C72B0">
            <w:pPr>
              <w:pStyle w:val="Tekstpodstawowy3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 w:rsidR="00F0276C"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853 35 23</w:t>
            </w:r>
            <w:r w:rsidR="003B13BE">
              <w:rPr>
                <w:rFonts w:ascii="Calibri" w:hAnsi="Calibri"/>
                <w:color w:val="FFFFFF"/>
                <w:sz w:val="26"/>
                <w:szCs w:val="26"/>
              </w:rPr>
              <w:t>, 607 573 053</w:t>
            </w:r>
            <w:r w:rsidR="00F0276C">
              <w:rPr>
                <w:rFonts w:ascii="Calibri" w:hAnsi="Calibri"/>
                <w:color w:val="FFFFFF"/>
                <w:sz w:val="26"/>
                <w:szCs w:val="26"/>
              </w:rPr>
              <w:t xml:space="preserve">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www.atl.edu.pl</w:t>
            </w:r>
          </w:p>
        </w:tc>
      </w:tr>
      <w:tr w:rsidR="002B3955" w:rsidRPr="00B62B12" w14:paraId="4D213222" w14:textId="77777777" w:rsidTr="008154AF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CAA957" w14:textId="77777777" w:rsidR="002B3955" w:rsidRPr="001E1762" w:rsidRDefault="002B3955" w:rsidP="007B425A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73CF51E2" w14:textId="77777777" w:rsidR="002B3955" w:rsidRPr="00121F4D" w:rsidRDefault="002B3955" w:rsidP="002B3955">
            <w:pPr>
              <w:pStyle w:val="Akapitzlist"/>
              <w:numPr>
                <w:ilvl w:val="0"/>
                <w:numId w:val="38"/>
              </w:numPr>
              <w:spacing w:before="12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73853ECA" w14:textId="77777777" w:rsidR="002B3955" w:rsidRPr="00121F4D" w:rsidRDefault="002B3955" w:rsidP="002B3955">
            <w:pPr>
              <w:pStyle w:val="Akapitzlist"/>
              <w:numPr>
                <w:ilvl w:val="0"/>
                <w:numId w:val="38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59C6B69B" w14:textId="77777777" w:rsidR="002B3955" w:rsidRPr="00121F4D" w:rsidRDefault="002B3955" w:rsidP="002B3955">
            <w:pPr>
              <w:pStyle w:val="Akapitzlist"/>
              <w:numPr>
                <w:ilvl w:val="0"/>
                <w:numId w:val="38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37582F73" w14:textId="77777777" w:rsidR="002B3955" w:rsidRPr="00AF3398" w:rsidRDefault="002B3955" w:rsidP="002B3955">
            <w:pPr>
              <w:pStyle w:val="Akapitzlist"/>
              <w:numPr>
                <w:ilvl w:val="0"/>
                <w:numId w:val="38"/>
              </w:numPr>
              <w:spacing w:after="24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Clickmeeting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2B3955" w:rsidRPr="00B62B12" w14:paraId="464A1D8C" w14:textId="77777777" w:rsidTr="008154AF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D8D16A6" w14:textId="77777777" w:rsidR="002B3955" w:rsidRPr="00B62B12" w:rsidRDefault="002B3955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8AA9F0A" w14:textId="77777777" w:rsidR="002B3955" w:rsidRPr="00B62B12" w:rsidRDefault="002B3955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4A44070" w14:textId="77777777" w:rsidR="002B3955" w:rsidRPr="00B62B12" w:rsidRDefault="002B3955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C48E1A0" w14:textId="77777777" w:rsidR="002B3955" w:rsidRPr="00B62B12" w:rsidRDefault="002B3955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304A844" w14:textId="77777777" w:rsidR="002B3955" w:rsidRPr="00B62B12" w:rsidRDefault="002B3955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24B81D55" w14:textId="77777777" w:rsidR="002B3955" w:rsidRPr="00B62B12" w:rsidRDefault="002B3955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2B3955" w:rsidRPr="00B62B12" w14:paraId="2E813F92" w14:textId="77777777" w:rsidTr="008154AF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5C4B45" w14:textId="77777777" w:rsidR="002B3955" w:rsidRPr="004234B8" w:rsidRDefault="002B3955" w:rsidP="002B395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03C04D84" w14:textId="77777777" w:rsidR="002B3955" w:rsidRPr="00B62B12" w:rsidRDefault="002B3955" w:rsidP="002B395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36A8451" w14:textId="77777777" w:rsidR="002B3955" w:rsidRPr="00B62B12" w:rsidRDefault="002B3955" w:rsidP="002B395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13DCBC" w14:textId="51CF2E5F" w:rsidR="002B3955" w:rsidRPr="00351093" w:rsidRDefault="002B3955" w:rsidP="002B395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1093">
              <w:rPr>
                <w:rFonts w:asciiTheme="minorHAnsi" w:hAnsiTheme="minorHAnsi"/>
                <w:sz w:val="20"/>
                <w:szCs w:val="20"/>
              </w:rPr>
              <w:t>1</w:t>
            </w:r>
            <w:r w:rsidR="00351093" w:rsidRPr="00351093">
              <w:rPr>
                <w:rFonts w:asciiTheme="minorHAnsi" w:hAnsiTheme="minorHAnsi"/>
                <w:sz w:val="20"/>
                <w:szCs w:val="20"/>
              </w:rPr>
              <w:t>3</w:t>
            </w:r>
            <w:r w:rsidRPr="00351093">
              <w:rPr>
                <w:rFonts w:asciiTheme="minorHAnsi" w:hAnsiTheme="minorHAnsi"/>
                <w:sz w:val="20"/>
                <w:szCs w:val="20"/>
              </w:rPr>
              <w:t>.</w:t>
            </w:r>
            <w:r w:rsidR="00351093" w:rsidRPr="00351093">
              <w:rPr>
                <w:rFonts w:asciiTheme="minorHAnsi" w:hAnsiTheme="minorHAnsi"/>
                <w:sz w:val="20"/>
                <w:szCs w:val="20"/>
              </w:rPr>
              <w:t>10</w:t>
            </w:r>
            <w:r w:rsidRPr="00351093">
              <w:rPr>
                <w:rFonts w:asciiTheme="minorHAnsi" w:hAnsiTheme="minorHAnsi"/>
                <w:sz w:val="20"/>
                <w:szCs w:val="20"/>
              </w:rPr>
              <w:t>.2022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29C79B" w14:textId="65623142" w:rsidR="002B3955" w:rsidRPr="00B62B12" w:rsidRDefault="002B3955" w:rsidP="002B3955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351093">
              <w:rPr>
                <w:rFonts w:ascii="Calibri" w:hAnsi="Calibri"/>
                <w:bCs/>
                <w:sz w:val="20"/>
                <w:szCs w:val="20"/>
              </w:rPr>
              <w:t>6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351093">
              <w:rPr>
                <w:rFonts w:ascii="Calibri" w:hAnsi="Calibri"/>
                <w:bCs/>
                <w:sz w:val="20"/>
                <w:szCs w:val="20"/>
              </w:rPr>
              <w:t>10</w:t>
            </w:r>
            <w:r>
              <w:rPr>
                <w:rFonts w:ascii="Calibri" w:hAnsi="Calibri"/>
                <w:bCs/>
                <w:sz w:val="20"/>
                <w:szCs w:val="20"/>
              </w:rPr>
              <w:t>.2022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67DB4A04" w14:textId="77777777" w:rsidR="002B3955" w:rsidRPr="00AF4968" w:rsidRDefault="002B3955" w:rsidP="002B395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 lub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Clickmeeting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62B36AF2" w14:textId="77777777" w:rsidR="002B3955" w:rsidRPr="00AF4968" w:rsidRDefault="002B3955" w:rsidP="002B3955">
            <w:pPr>
              <w:numPr>
                <w:ilvl w:val="0"/>
                <w:numId w:val="15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181AAA8C" w14:textId="77777777" w:rsidR="002B3955" w:rsidRPr="00AF4968" w:rsidRDefault="002B3955" w:rsidP="002B3955">
            <w:pPr>
              <w:numPr>
                <w:ilvl w:val="0"/>
                <w:numId w:val="15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520D6E29" w14:textId="77777777" w:rsidR="002B3955" w:rsidRPr="00AF4968" w:rsidRDefault="002B3955" w:rsidP="002B3955">
            <w:pPr>
              <w:numPr>
                <w:ilvl w:val="0"/>
                <w:numId w:val="15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684808AA" w14:textId="77777777" w:rsidR="002B3955" w:rsidRPr="00AF4968" w:rsidRDefault="002B3955" w:rsidP="002B3955">
            <w:pPr>
              <w:numPr>
                <w:ilvl w:val="0"/>
                <w:numId w:val="15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2F708767" w14:textId="77777777" w:rsidR="002B3955" w:rsidRPr="00B62B12" w:rsidRDefault="002B3955" w:rsidP="002B3955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760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0B073936" w14:textId="77777777" w:rsidR="002B3955" w:rsidRDefault="002B3955" w:rsidP="002B395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2F2A8856" w14:textId="77777777" w:rsidR="002B3955" w:rsidRPr="003674BB" w:rsidRDefault="002B3955" w:rsidP="002B3955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860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DBD1C2B" w14:textId="77777777" w:rsidR="002B3955" w:rsidRPr="00577E71" w:rsidRDefault="002B3955" w:rsidP="002B3955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2AEE57B1" w14:textId="43498305" w:rsidR="002B3955" w:rsidRDefault="002B3955" w:rsidP="002B3955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bookmarkStart w:id="10" w:name="_GoBack"/>
      <w:bookmarkEnd w:id="10"/>
    </w:p>
    <w:p w14:paraId="14A6F260" w14:textId="77777777" w:rsidR="002B3955" w:rsidRPr="00E174E9" w:rsidRDefault="002B3955" w:rsidP="002B3955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2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2B3955" w:rsidRPr="00134382" w14:paraId="5C1C6848" w14:textId="77777777" w:rsidTr="002B3955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63AD14E1" w14:textId="77777777" w:rsidR="002B3955" w:rsidRPr="00F024BF" w:rsidRDefault="002B3955" w:rsidP="007B425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shd w:val="clear" w:color="auto" w:fill="008080"/>
            <w:vAlign w:val="center"/>
          </w:tcPr>
          <w:p w14:paraId="0206EAF0" w14:textId="77777777" w:rsidR="002B3955" w:rsidRPr="00F024BF" w:rsidRDefault="002B3955" w:rsidP="007B425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shd w:val="clear" w:color="auto" w:fill="3366CC"/>
            <w:vAlign w:val="center"/>
          </w:tcPr>
          <w:p w14:paraId="5E6F9B94" w14:textId="77777777" w:rsidR="002B3955" w:rsidRPr="00F024BF" w:rsidRDefault="002B3955" w:rsidP="007B425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shd w:val="clear" w:color="auto" w:fill="666699"/>
            <w:vAlign w:val="center"/>
          </w:tcPr>
          <w:p w14:paraId="7AB064EA" w14:textId="77777777" w:rsidR="002B3955" w:rsidRPr="00F024BF" w:rsidRDefault="002B3955" w:rsidP="007B425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2B3955" w:rsidRPr="00134382" w14:paraId="3A9BF42B" w14:textId="77777777" w:rsidTr="002B3955">
        <w:trPr>
          <w:trHeight w:val="737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7202D6AE" w14:textId="77777777" w:rsidR="002B3955" w:rsidRDefault="002B3955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71F2C918" w14:textId="7D633783" w:rsidR="002B3955" w:rsidRPr="00935E4D" w:rsidRDefault="00351093" w:rsidP="007B42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2B395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2B3955">
              <w:rPr>
                <w:rFonts w:asciiTheme="minorHAnsi" w:hAnsiTheme="minorHAnsi"/>
                <w:sz w:val="20"/>
                <w:szCs w:val="20"/>
              </w:rPr>
              <w:t>.2022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0A198F8A" w14:textId="2249B809" w:rsidR="002B3955" w:rsidRDefault="00351093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04</w:t>
            </w:r>
            <w:r w:rsidR="002B3955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  <w:r w:rsidR="002B3955">
              <w:rPr>
                <w:rFonts w:ascii="Calibri" w:hAnsi="Calibri"/>
                <w:bCs/>
                <w:sz w:val="20"/>
                <w:szCs w:val="20"/>
              </w:rPr>
              <w:t>.2022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14:paraId="11A45151" w14:textId="77777777" w:rsidR="002B3955" w:rsidRPr="008B239E" w:rsidRDefault="002B3955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67D03C08" w14:textId="77777777" w:rsidR="002B3955" w:rsidRPr="009A1F64" w:rsidRDefault="002B3955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3E3CD01E" w14:textId="77777777" w:rsidR="002B3955" w:rsidRPr="00656DAD" w:rsidRDefault="002B3955" w:rsidP="002B3955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>
        <w:rPr>
          <w:rFonts w:ascii="Calibri" w:hAnsi="Calibri"/>
          <w:b/>
          <w:color w:val="A50021"/>
          <w:sz w:val="20"/>
          <w:szCs w:val="20"/>
        </w:rPr>
        <w:t>860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E08DD6C" w14:textId="77777777" w:rsidR="002B3955" w:rsidRDefault="002B3955" w:rsidP="002B395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75235FDB" w14:textId="77777777" w:rsidR="002B3955" w:rsidRDefault="002B3955" w:rsidP="002B3955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960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01894A36" w14:textId="0AF0A1A2" w:rsidR="000F7A8C" w:rsidRDefault="000F7A8C" w:rsidP="00040CE9">
      <w:pPr>
        <w:pStyle w:val="Tekstpodstawowy3"/>
        <w:shd w:val="clear" w:color="auto" w:fill="FFFFFF" w:themeFill="background1"/>
        <w:rPr>
          <w:rFonts w:ascii="Calibri" w:hAnsi="Calibri"/>
          <w:color w:val="FFFFFF"/>
          <w:szCs w:val="24"/>
        </w:rPr>
      </w:pPr>
    </w:p>
    <w:p w14:paraId="4C75772E" w14:textId="5169EEF2" w:rsidR="000F7A8C" w:rsidRDefault="000F7A8C" w:rsidP="00040CE9">
      <w:pPr>
        <w:pStyle w:val="Tekstpodstawowy3"/>
        <w:shd w:val="clear" w:color="auto" w:fill="FFFFFF" w:themeFill="background1"/>
        <w:rPr>
          <w:rFonts w:ascii="Calibri" w:hAnsi="Calibri"/>
          <w:color w:val="FFFFFF"/>
          <w:szCs w:val="24"/>
        </w:rPr>
      </w:pPr>
    </w:p>
    <w:p w14:paraId="6800AA28" w14:textId="0915E101" w:rsidR="000F7A8C" w:rsidRDefault="000F7A8C" w:rsidP="00040CE9">
      <w:pPr>
        <w:pStyle w:val="Tekstpodstawowy3"/>
        <w:shd w:val="clear" w:color="auto" w:fill="FFFFFF" w:themeFill="background1"/>
        <w:rPr>
          <w:rFonts w:ascii="Calibri" w:hAnsi="Calibri"/>
          <w:color w:val="FFFFFF"/>
          <w:szCs w:val="24"/>
        </w:rPr>
      </w:pPr>
    </w:p>
    <w:p w14:paraId="2765969E" w14:textId="7F4FE829" w:rsidR="004234B8" w:rsidRDefault="004234B8" w:rsidP="00040CE9">
      <w:pPr>
        <w:pStyle w:val="Tekstpodstawowy3"/>
        <w:shd w:val="clear" w:color="auto" w:fill="FFFFFF" w:themeFill="background1"/>
        <w:rPr>
          <w:rFonts w:ascii="Calibri" w:hAnsi="Calibri"/>
          <w:color w:val="FFFFFF"/>
          <w:szCs w:val="24"/>
        </w:rPr>
      </w:pPr>
    </w:p>
    <w:p w14:paraId="378A7903" w14:textId="23DAF682" w:rsidR="004234B8" w:rsidRDefault="004234B8" w:rsidP="00040CE9">
      <w:pPr>
        <w:pStyle w:val="Tekstpodstawowy3"/>
        <w:shd w:val="clear" w:color="auto" w:fill="FFFFFF" w:themeFill="background1"/>
        <w:rPr>
          <w:rFonts w:ascii="Calibri" w:hAnsi="Calibri"/>
          <w:color w:val="FFFFFF"/>
          <w:szCs w:val="24"/>
        </w:rPr>
      </w:pPr>
    </w:p>
    <w:p w14:paraId="222FAC66" w14:textId="77777777" w:rsidR="008154AF" w:rsidRDefault="008154AF" w:rsidP="00040CE9">
      <w:pPr>
        <w:pStyle w:val="Tekstpodstawowy3"/>
        <w:shd w:val="clear" w:color="auto" w:fill="FFFFFF" w:themeFill="background1"/>
        <w:rPr>
          <w:rFonts w:ascii="Calibri" w:hAnsi="Calibri"/>
          <w:color w:val="FFFFFF"/>
          <w:szCs w:val="24"/>
        </w:rPr>
      </w:pPr>
    </w:p>
    <w:p w14:paraId="5D7AB309" w14:textId="34E76350" w:rsidR="001C0E52" w:rsidRPr="00BE5877" w:rsidRDefault="001C0E52" w:rsidP="00A66C24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47333D2E" w14:textId="22C78020" w:rsidR="001C0E52" w:rsidRDefault="001C0E52" w:rsidP="004234B8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4D13DB">
        <w:rPr>
          <w:rFonts w:ascii="Calibri" w:hAnsi="Calibri"/>
          <w:b/>
          <w:bCs/>
          <w:iCs/>
          <w:sz w:val="18"/>
          <w:szCs w:val="18"/>
        </w:rPr>
        <w:t>Handel wewnątrzwspólnotowy, eksport, import</w:t>
      </w:r>
      <w:r>
        <w:rPr>
          <w:rFonts w:ascii="Calibri" w:hAnsi="Calibri"/>
          <w:b/>
          <w:bCs/>
          <w:iCs/>
          <w:sz w:val="18"/>
          <w:szCs w:val="18"/>
        </w:rPr>
        <w:t>.”</w:t>
      </w:r>
    </w:p>
    <w:p w14:paraId="297A34EE" w14:textId="027C20E4" w:rsidR="007D46C5" w:rsidRDefault="007D46C5" w:rsidP="007D46C5">
      <w:pPr>
        <w:spacing w:before="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8154AF" w:rsidRPr="008154AF">
        <w:rPr>
          <w:rFonts w:asciiTheme="minorHAnsi" w:hAnsiTheme="minorHAnsi"/>
          <w:sz w:val="18"/>
          <w:szCs w:val="18"/>
        </w:rPr>
        <w:t xml:space="preserve"> </w:t>
      </w:r>
      <w:r w:rsidR="008154AF" w:rsidRPr="00BC0F5C">
        <w:rPr>
          <w:rFonts w:asciiTheme="minorHAnsi" w:hAnsiTheme="minorHAnsi"/>
          <w:sz w:val="18"/>
          <w:szCs w:val="18"/>
        </w:rPr>
        <w:sym w:font="Wingdings" w:char="F0A8"/>
      </w:r>
      <w:r w:rsidR="008154AF">
        <w:rPr>
          <w:rFonts w:asciiTheme="minorHAnsi" w:hAnsiTheme="minorHAnsi"/>
          <w:sz w:val="18"/>
          <w:szCs w:val="18"/>
        </w:rPr>
        <w:t xml:space="preserve"> </w:t>
      </w:r>
      <w:r w:rsidR="008154AF">
        <w:rPr>
          <w:rFonts w:ascii="Calibri" w:hAnsi="Calibri"/>
          <w:b/>
          <w:bCs/>
          <w:sz w:val="18"/>
          <w:szCs w:val="18"/>
        </w:rPr>
        <w:t>stacjonarnie</w:t>
      </w:r>
      <w:r w:rsidR="008154AF" w:rsidRPr="0091017F">
        <w:rPr>
          <w:rFonts w:ascii="Calibri" w:hAnsi="Calibri"/>
          <w:bCs/>
          <w:sz w:val="18"/>
          <w:szCs w:val="18"/>
        </w:rPr>
        <w:t xml:space="preserve"> </w:t>
      </w:r>
      <w:r w:rsidR="008154AF">
        <w:rPr>
          <w:rFonts w:ascii="Calibri" w:hAnsi="Calibri"/>
          <w:bCs/>
          <w:sz w:val="18"/>
          <w:szCs w:val="18"/>
        </w:rPr>
        <w:t>(miasto i termin):</w:t>
      </w:r>
      <w:r w:rsidR="008154AF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504D593D" w14:textId="77777777" w:rsidR="007D46C5" w:rsidRPr="00DB5183" w:rsidRDefault="007D46C5" w:rsidP="004234B8">
      <w:pPr>
        <w:spacing w:before="60"/>
        <w:rPr>
          <w:rFonts w:ascii="Calibri" w:hAnsi="Calibri"/>
          <w:b/>
          <w:sz w:val="16"/>
          <w:szCs w:val="16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7D46C5" w:rsidRPr="001F3ACF" w14:paraId="26A98819" w14:textId="77777777" w:rsidTr="00573A4A">
        <w:trPr>
          <w:trHeight w:hRule="exact" w:val="340"/>
        </w:trPr>
        <w:tc>
          <w:tcPr>
            <w:tcW w:w="426" w:type="dxa"/>
            <w:vAlign w:val="center"/>
          </w:tcPr>
          <w:p w14:paraId="42655DA4" w14:textId="77777777" w:rsidR="007D46C5" w:rsidRPr="00900431" w:rsidRDefault="007D46C5" w:rsidP="00573A4A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45C6264F" w14:textId="77777777" w:rsidR="007D46C5" w:rsidRPr="00900431" w:rsidRDefault="007D46C5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5DB87459" w14:textId="77777777" w:rsidR="007D46C5" w:rsidRPr="00900431" w:rsidRDefault="007D46C5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08545766" w14:textId="77777777" w:rsidR="007D46C5" w:rsidRPr="00900431" w:rsidRDefault="007D46C5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7D46C5" w:rsidRPr="001F3ACF" w14:paraId="77CB472E" w14:textId="77777777" w:rsidTr="00573A4A">
        <w:trPr>
          <w:trHeight w:hRule="exact" w:val="397"/>
        </w:trPr>
        <w:tc>
          <w:tcPr>
            <w:tcW w:w="426" w:type="dxa"/>
          </w:tcPr>
          <w:p w14:paraId="50D6E8B8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5FAAB92D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38EE77D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C536EB8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7D46C5" w:rsidRPr="001F3ACF" w14:paraId="5BC34605" w14:textId="77777777" w:rsidTr="00573A4A">
        <w:trPr>
          <w:trHeight w:hRule="exact" w:val="397"/>
        </w:trPr>
        <w:tc>
          <w:tcPr>
            <w:tcW w:w="426" w:type="dxa"/>
          </w:tcPr>
          <w:p w14:paraId="4C76B4B5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0FF6D7B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17C679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525F20A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7D46C5" w:rsidRPr="001F3ACF" w14:paraId="57C794BC" w14:textId="77777777" w:rsidTr="00573A4A">
        <w:trPr>
          <w:trHeight w:hRule="exact" w:val="397"/>
        </w:trPr>
        <w:tc>
          <w:tcPr>
            <w:tcW w:w="426" w:type="dxa"/>
          </w:tcPr>
          <w:p w14:paraId="6D62063B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495EC29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691BBEE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FE38DE5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234B8" w:rsidRPr="001F3ACF" w14:paraId="1D6E34DC" w14:textId="77777777" w:rsidTr="00573A4A">
        <w:trPr>
          <w:trHeight w:hRule="exact" w:val="397"/>
        </w:trPr>
        <w:tc>
          <w:tcPr>
            <w:tcW w:w="426" w:type="dxa"/>
          </w:tcPr>
          <w:p w14:paraId="6DC87578" w14:textId="06F462BD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3E4F6E7C" w14:textId="77777777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84E687C" w14:textId="77777777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30B23EE" w14:textId="77777777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1EA1C498" w14:textId="77777777" w:rsidR="007D46C5" w:rsidRDefault="007D46C5" w:rsidP="007D46C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3EFFBBF5" w14:textId="77777777" w:rsidR="007D46C5" w:rsidRDefault="007D46C5" w:rsidP="007D46C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3DA7D71" w14:textId="77777777" w:rsidR="007D46C5" w:rsidRDefault="007D46C5" w:rsidP="007D46C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0B5748" w14:textId="77777777" w:rsidR="007D46C5" w:rsidRDefault="007D46C5" w:rsidP="007D46C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E20291D" w14:textId="77777777" w:rsidR="007D46C5" w:rsidRDefault="007D46C5" w:rsidP="007D46C5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62D63412" w14:textId="77777777" w:rsidR="007D46C5" w:rsidRPr="00272ADA" w:rsidRDefault="007D46C5" w:rsidP="007D46C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4E987E2A" w14:textId="77777777" w:rsidR="007D46C5" w:rsidRPr="00BC0F5C" w:rsidRDefault="007D46C5" w:rsidP="004234B8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4B2CF31D" w14:textId="77777777" w:rsidR="007D46C5" w:rsidRPr="00ED6802" w:rsidRDefault="007D46C5" w:rsidP="007D46C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167781EB" w14:textId="77777777" w:rsidR="007D46C5" w:rsidRPr="00BC0F5C" w:rsidRDefault="007D46C5" w:rsidP="007D46C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1BFDACF" w14:textId="77777777" w:rsidR="007D46C5" w:rsidRPr="00BC0F5C" w:rsidRDefault="007D46C5" w:rsidP="007D46C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839E0C9" w14:textId="77777777" w:rsidR="007D46C5" w:rsidRPr="00BC0F5C" w:rsidRDefault="007D46C5" w:rsidP="007D46C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F715198" w14:textId="77777777" w:rsidR="007D46C5" w:rsidRPr="00BC0F5C" w:rsidRDefault="007D46C5" w:rsidP="007D46C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59540524" w14:textId="77777777" w:rsidR="007D46C5" w:rsidRPr="00ED6802" w:rsidRDefault="007D46C5" w:rsidP="007D46C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7561684" w14:textId="76CFD782" w:rsidR="007D46C5" w:rsidRPr="004B6EA5" w:rsidRDefault="007D46C5" w:rsidP="007D46C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DF1AD2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DF1AD2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0CAA70AA" w14:textId="77777777" w:rsidR="007D46C5" w:rsidRPr="004B6EA5" w:rsidRDefault="007D46C5" w:rsidP="007D46C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1B0F1C5" w14:textId="77777777" w:rsidR="007D46C5" w:rsidRPr="004B6EA5" w:rsidRDefault="007D46C5" w:rsidP="007D46C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C37B508" w14:textId="77777777" w:rsidR="007D46C5" w:rsidRPr="00321B20" w:rsidRDefault="007D46C5" w:rsidP="007D46C5">
      <w:pPr>
        <w:rPr>
          <w:rFonts w:asciiTheme="minorHAnsi" w:hAnsiTheme="minorHAnsi"/>
          <w:sz w:val="8"/>
          <w:szCs w:val="8"/>
        </w:rPr>
      </w:pPr>
    </w:p>
    <w:p w14:paraId="31767CD7" w14:textId="77777777" w:rsidR="00DF1AD2" w:rsidRDefault="00DF1AD2" w:rsidP="00DF1AD2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B9A5C55" w14:textId="29A00F69" w:rsidR="007D46C5" w:rsidRDefault="00DF1AD2" w:rsidP="00DF1AD2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7D46C5" w:rsidRPr="004B6EA5">
        <w:rPr>
          <w:rFonts w:asciiTheme="minorHAnsi" w:hAnsiTheme="minorHAnsi"/>
          <w:sz w:val="15"/>
          <w:szCs w:val="15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2BD50C16" w14:textId="77777777" w:rsidR="007D46C5" w:rsidRPr="00DB5183" w:rsidRDefault="007D46C5" w:rsidP="007D46C5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E95AB75" w14:textId="115BFE83" w:rsidR="007D46C5" w:rsidRPr="007F3FBA" w:rsidRDefault="007D46C5" w:rsidP="007F3FBA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46C5" w:rsidRPr="007F3FBA" w:rsidSect="00A83D91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7F8A8" w14:textId="77777777" w:rsidR="00C8589D" w:rsidRDefault="00C8589D">
      <w:r>
        <w:separator/>
      </w:r>
    </w:p>
  </w:endnote>
  <w:endnote w:type="continuationSeparator" w:id="0">
    <w:p w14:paraId="2D9F3374" w14:textId="77777777" w:rsidR="00C8589D" w:rsidRDefault="00C8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2C139" w14:textId="77777777" w:rsidR="00C66560" w:rsidRDefault="005C3A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65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FBA644" w14:textId="77777777" w:rsidR="00C66560" w:rsidRDefault="00C66560">
    <w:pPr>
      <w:pStyle w:val="Stopka"/>
      <w:ind w:right="360"/>
    </w:pPr>
  </w:p>
  <w:p w14:paraId="2CD446A8" w14:textId="77777777" w:rsidR="002D15CC" w:rsidRDefault="002D15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4E38" w14:textId="77777777" w:rsidR="00C66560" w:rsidRDefault="00C66560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C1A6C4" w14:textId="77777777" w:rsidR="00C66560" w:rsidRPr="008F0B3B" w:rsidRDefault="00821847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8F0B3B">
      <w:rPr>
        <w:rFonts w:ascii="Calibri" w:hAnsi="Calibri" w:cs="Tahoma"/>
        <w:sz w:val="16"/>
      </w:rPr>
      <w:t xml:space="preserve"> Warszawa, ul. </w:t>
    </w:r>
    <w:r w:rsidRPr="00835062">
      <w:rPr>
        <w:rFonts w:ascii="Calibri" w:hAnsi="Calibri" w:cs="Tahoma"/>
        <w:sz w:val="16"/>
      </w:rPr>
      <w:t>A. Locciego 26</w:t>
    </w:r>
    <w:r w:rsidR="008F0B3B" w:rsidRPr="00835062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4C2780BF" w14:textId="77777777" w:rsidR="00C66560" w:rsidRDefault="00C66560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1762C" w14:textId="77777777" w:rsidR="00C8589D" w:rsidRDefault="00C8589D">
      <w:r>
        <w:separator/>
      </w:r>
    </w:p>
  </w:footnote>
  <w:footnote w:type="continuationSeparator" w:id="0">
    <w:p w14:paraId="6EA669CA" w14:textId="77777777" w:rsidR="00C8589D" w:rsidRDefault="00C8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67D3C" w14:textId="616A935C" w:rsidR="002D15CC" w:rsidRDefault="00BE5877" w:rsidP="005C72B0">
    <w:pPr>
      <w:pStyle w:val="Nagwek"/>
      <w:pBdr>
        <w:bottom w:val="single" w:sz="4" w:space="1" w:color="auto"/>
      </w:pBdr>
      <w:tabs>
        <w:tab w:val="clear" w:pos="4536"/>
        <w:tab w:val="clear" w:pos="9072"/>
      </w:tabs>
      <w:contextualSpacing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A25C8" wp14:editId="3EEB3C06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C1A1F" w14:textId="77777777" w:rsidR="00C66560" w:rsidRDefault="00C66560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4352FB4B" w14:textId="55310407" w:rsidR="00C66560" w:rsidRDefault="00944954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5C48F7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FB7759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C66560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7A25C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380C1A1F" w14:textId="77777777" w:rsidR="00C66560" w:rsidRDefault="00C66560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4352FB4B" w14:textId="55310407" w:rsidR="00C66560" w:rsidRDefault="00944954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5C48F7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FB7759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C66560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66560">
      <w:tab/>
    </w:r>
    <w:r w:rsidR="00C66560">
      <w:object w:dxaOrig="1850" w:dyaOrig="810" w14:anchorId="76085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40.5pt" o:ole="">
          <v:imagedata r:id="rId1" o:title=""/>
        </v:shape>
        <o:OLEObject Type="Embed" ProgID="CorelDRAW.Graphic.10" ShapeID="_x0000_i1025" DrawAspect="Content" ObjectID="_1716021119" r:id="rId2"/>
      </w:object>
    </w:r>
    <w:r w:rsidR="00C66560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893"/>
    <w:multiLevelType w:val="hybridMultilevel"/>
    <w:tmpl w:val="7082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8FF"/>
    <w:multiLevelType w:val="hybridMultilevel"/>
    <w:tmpl w:val="82F4362C"/>
    <w:lvl w:ilvl="0" w:tplc="D944B5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079F"/>
    <w:multiLevelType w:val="hybridMultilevel"/>
    <w:tmpl w:val="11D8DAF8"/>
    <w:lvl w:ilvl="0" w:tplc="D944B5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E657A"/>
    <w:multiLevelType w:val="hybridMultilevel"/>
    <w:tmpl w:val="A32AF62E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5348"/>
    <w:multiLevelType w:val="hybridMultilevel"/>
    <w:tmpl w:val="232C9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3C95"/>
    <w:multiLevelType w:val="hybridMultilevel"/>
    <w:tmpl w:val="D2C20EF8"/>
    <w:lvl w:ilvl="0" w:tplc="997EFBE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0A64C6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3399"/>
      </w:rPr>
    </w:lvl>
    <w:lvl w:ilvl="2" w:tplc="195AF59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67FF"/>
    <w:multiLevelType w:val="hybridMultilevel"/>
    <w:tmpl w:val="D77A0E66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B4C49"/>
    <w:multiLevelType w:val="hybridMultilevel"/>
    <w:tmpl w:val="AD24B85C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125C1"/>
    <w:multiLevelType w:val="hybridMultilevel"/>
    <w:tmpl w:val="2194A582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5EB9"/>
    <w:multiLevelType w:val="hybridMultilevel"/>
    <w:tmpl w:val="4F2E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20E69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AE2D3A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9402A7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D149F"/>
    <w:multiLevelType w:val="hybridMultilevel"/>
    <w:tmpl w:val="7AFCAEA8"/>
    <w:lvl w:ilvl="0" w:tplc="D944B5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D563ED"/>
    <w:multiLevelType w:val="hybridMultilevel"/>
    <w:tmpl w:val="B04CFEE8"/>
    <w:lvl w:ilvl="0" w:tplc="D944B5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56125"/>
    <w:multiLevelType w:val="hybridMultilevel"/>
    <w:tmpl w:val="2214BE7C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B1D33"/>
    <w:multiLevelType w:val="hybridMultilevel"/>
    <w:tmpl w:val="BD888358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636DD"/>
    <w:multiLevelType w:val="hybridMultilevel"/>
    <w:tmpl w:val="6BB0C722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E7AF3"/>
    <w:multiLevelType w:val="hybridMultilevel"/>
    <w:tmpl w:val="FF421D9C"/>
    <w:lvl w:ilvl="0" w:tplc="D944B5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2C5E24"/>
    <w:multiLevelType w:val="hybridMultilevel"/>
    <w:tmpl w:val="4486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F0374"/>
    <w:multiLevelType w:val="hybridMultilevel"/>
    <w:tmpl w:val="0088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7953"/>
    <w:multiLevelType w:val="hybridMultilevel"/>
    <w:tmpl w:val="3C7CD4D8"/>
    <w:lvl w:ilvl="0" w:tplc="B97AF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E0BF7"/>
    <w:multiLevelType w:val="hybridMultilevel"/>
    <w:tmpl w:val="7D5CB1C2"/>
    <w:lvl w:ilvl="0" w:tplc="997EFBE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5B043A4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215868" w:themeColor="accent5" w:themeShade="80"/>
      </w:rPr>
    </w:lvl>
    <w:lvl w:ilvl="2" w:tplc="195AF59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44D59"/>
    <w:multiLevelType w:val="hybridMultilevel"/>
    <w:tmpl w:val="17E61ABA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45EE2"/>
    <w:multiLevelType w:val="hybridMultilevel"/>
    <w:tmpl w:val="7BFE2586"/>
    <w:lvl w:ilvl="0" w:tplc="B97AF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173D"/>
    <w:multiLevelType w:val="hybridMultilevel"/>
    <w:tmpl w:val="62640852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E75C0"/>
    <w:multiLevelType w:val="hybridMultilevel"/>
    <w:tmpl w:val="1758FCBE"/>
    <w:lvl w:ilvl="0" w:tplc="D944B5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E82BCA"/>
    <w:multiLevelType w:val="hybridMultilevel"/>
    <w:tmpl w:val="8A904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F142C2B"/>
    <w:multiLevelType w:val="hybridMultilevel"/>
    <w:tmpl w:val="4348AF16"/>
    <w:lvl w:ilvl="0" w:tplc="D944B5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874A0B"/>
    <w:multiLevelType w:val="hybridMultilevel"/>
    <w:tmpl w:val="7326DABE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4254F5"/>
    <w:multiLevelType w:val="hybridMultilevel"/>
    <w:tmpl w:val="FAA8CA4C"/>
    <w:lvl w:ilvl="0" w:tplc="017429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3"/>
  </w:num>
  <w:num w:numId="4">
    <w:abstractNumId w:val="24"/>
  </w:num>
  <w:num w:numId="5">
    <w:abstractNumId w:val="22"/>
  </w:num>
  <w:num w:numId="6">
    <w:abstractNumId w:val="16"/>
  </w:num>
  <w:num w:numId="7">
    <w:abstractNumId w:val="32"/>
  </w:num>
  <w:num w:numId="8">
    <w:abstractNumId w:val="2"/>
  </w:num>
  <w:num w:numId="9">
    <w:abstractNumId w:val="9"/>
  </w:num>
  <w:num w:numId="10">
    <w:abstractNumId w:val="12"/>
  </w:num>
  <w:num w:numId="11">
    <w:abstractNumId w:val="29"/>
  </w:num>
  <w:num w:numId="12">
    <w:abstractNumId w:val="18"/>
  </w:num>
  <w:num w:numId="13">
    <w:abstractNumId w:val="6"/>
  </w:num>
  <w:num w:numId="14">
    <w:abstractNumId w:val="0"/>
  </w:num>
  <w:num w:numId="15">
    <w:abstractNumId w:val="35"/>
  </w:num>
  <w:num w:numId="16">
    <w:abstractNumId w:val="23"/>
  </w:num>
  <w:num w:numId="17">
    <w:abstractNumId w:val="31"/>
  </w:num>
  <w:num w:numId="18">
    <w:abstractNumId w:val="28"/>
  </w:num>
  <w:num w:numId="19">
    <w:abstractNumId w:val="25"/>
  </w:num>
  <w:num w:numId="20">
    <w:abstractNumId w:val="8"/>
  </w:num>
  <w:num w:numId="21">
    <w:abstractNumId w:val="21"/>
  </w:num>
  <w:num w:numId="22">
    <w:abstractNumId w:val="10"/>
  </w:num>
  <w:num w:numId="23">
    <w:abstractNumId w:val="26"/>
  </w:num>
  <w:num w:numId="24">
    <w:abstractNumId w:val="34"/>
  </w:num>
  <w:num w:numId="25">
    <w:abstractNumId w:val="11"/>
  </w:num>
  <w:num w:numId="26">
    <w:abstractNumId w:val="19"/>
  </w:num>
  <w:num w:numId="27">
    <w:abstractNumId w:val="5"/>
  </w:num>
  <w:num w:numId="28">
    <w:abstractNumId w:val="4"/>
  </w:num>
  <w:num w:numId="29">
    <w:abstractNumId w:val="1"/>
  </w:num>
  <w:num w:numId="30">
    <w:abstractNumId w:val="3"/>
  </w:num>
  <w:num w:numId="31">
    <w:abstractNumId w:val="30"/>
  </w:num>
  <w:num w:numId="32">
    <w:abstractNumId w:val="33"/>
  </w:num>
  <w:num w:numId="33">
    <w:abstractNumId w:val="20"/>
  </w:num>
  <w:num w:numId="34">
    <w:abstractNumId w:val="15"/>
  </w:num>
  <w:num w:numId="35">
    <w:abstractNumId w:val="14"/>
  </w:num>
  <w:num w:numId="36">
    <w:abstractNumId w:val="37"/>
  </w:num>
  <w:num w:numId="37">
    <w:abstractNumId w:val="7"/>
  </w:num>
  <w:num w:numId="3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02E7B"/>
    <w:rsid w:val="00007D86"/>
    <w:rsid w:val="00014BB1"/>
    <w:rsid w:val="00016197"/>
    <w:rsid w:val="00022A6F"/>
    <w:rsid w:val="00032312"/>
    <w:rsid w:val="00040CE9"/>
    <w:rsid w:val="00066F17"/>
    <w:rsid w:val="0006712F"/>
    <w:rsid w:val="00070604"/>
    <w:rsid w:val="00070CD3"/>
    <w:rsid w:val="00077BB5"/>
    <w:rsid w:val="00086C8D"/>
    <w:rsid w:val="00091854"/>
    <w:rsid w:val="00095408"/>
    <w:rsid w:val="0009799D"/>
    <w:rsid w:val="000A220D"/>
    <w:rsid w:val="000B698D"/>
    <w:rsid w:val="000C06D4"/>
    <w:rsid w:val="000C1A47"/>
    <w:rsid w:val="000C3B6F"/>
    <w:rsid w:val="000D5818"/>
    <w:rsid w:val="000D6FF6"/>
    <w:rsid w:val="000E774B"/>
    <w:rsid w:val="000E798C"/>
    <w:rsid w:val="000E7DB3"/>
    <w:rsid w:val="000F0E80"/>
    <w:rsid w:val="000F5E4A"/>
    <w:rsid w:val="000F7A8C"/>
    <w:rsid w:val="00102087"/>
    <w:rsid w:val="00102E7B"/>
    <w:rsid w:val="00104C93"/>
    <w:rsid w:val="00106873"/>
    <w:rsid w:val="001115BF"/>
    <w:rsid w:val="00114923"/>
    <w:rsid w:val="00130D91"/>
    <w:rsid w:val="00130F9D"/>
    <w:rsid w:val="00132781"/>
    <w:rsid w:val="001333CB"/>
    <w:rsid w:val="00135EBE"/>
    <w:rsid w:val="00150A08"/>
    <w:rsid w:val="0016678C"/>
    <w:rsid w:val="001712F4"/>
    <w:rsid w:val="00174E46"/>
    <w:rsid w:val="00183516"/>
    <w:rsid w:val="001835E9"/>
    <w:rsid w:val="00186BD4"/>
    <w:rsid w:val="0019495E"/>
    <w:rsid w:val="0019500D"/>
    <w:rsid w:val="00195FEF"/>
    <w:rsid w:val="001A2DAF"/>
    <w:rsid w:val="001B2D35"/>
    <w:rsid w:val="001B60D2"/>
    <w:rsid w:val="001B710F"/>
    <w:rsid w:val="001C0E52"/>
    <w:rsid w:val="001D2609"/>
    <w:rsid w:val="001E122F"/>
    <w:rsid w:val="001E5CF2"/>
    <w:rsid w:val="002042D4"/>
    <w:rsid w:val="00212D87"/>
    <w:rsid w:val="00213219"/>
    <w:rsid w:val="00214BE6"/>
    <w:rsid w:val="00217431"/>
    <w:rsid w:val="002203C6"/>
    <w:rsid w:val="00221A18"/>
    <w:rsid w:val="00222672"/>
    <w:rsid w:val="002233C3"/>
    <w:rsid w:val="002237F4"/>
    <w:rsid w:val="00223FE3"/>
    <w:rsid w:val="002255E8"/>
    <w:rsid w:val="00230701"/>
    <w:rsid w:val="0023276C"/>
    <w:rsid w:val="00235B32"/>
    <w:rsid w:val="002416CE"/>
    <w:rsid w:val="0026070E"/>
    <w:rsid w:val="00264164"/>
    <w:rsid w:val="0026573D"/>
    <w:rsid w:val="002733E9"/>
    <w:rsid w:val="002738EB"/>
    <w:rsid w:val="00274A3C"/>
    <w:rsid w:val="002770E4"/>
    <w:rsid w:val="00280CDA"/>
    <w:rsid w:val="00285951"/>
    <w:rsid w:val="00286055"/>
    <w:rsid w:val="0029670F"/>
    <w:rsid w:val="002A4B36"/>
    <w:rsid w:val="002A5DBB"/>
    <w:rsid w:val="002B3691"/>
    <w:rsid w:val="002B3955"/>
    <w:rsid w:val="002B64CB"/>
    <w:rsid w:val="002C22D6"/>
    <w:rsid w:val="002C51A3"/>
    <w:rsid w:val="002D15CC"/>
    <w:rsid w:val="002F19B9"/>
    <w:rsid w:val="002F40F5"/>
    <w:rsid w:val="00305954"/>
    <w:rsid w:val="0031685C"/>
    <w:rsid w:val="0032344C"/>
    <w:rsid w:val="0032381D"/>
    <w:rsid w:val="00323A74"/>
    <w:rsid w:val="00326D5B"/>
    <w:rsid w:val="00332171"/>
    <w:rsid w:val="00332749"/>
    <w:rsid w:val="003372D6"/>
    <w:rsid w:val="00343071"/>
    <w:rsid w:val="0035057E"/>
    <w:rsid w:val="00351093"/>
    <w:rsid w:val="00351C85"/>
    <w:rsid w:val="003649DF"/>
    <w:rsid w:val="00376940"/>
    <w:rsid w:val="003851A7"/>
    <w:rsid w:val="003877F3"/>
    <w:rsid w:val="003878C0"/>
    <w:rsid w:val="00390551"/>
    <w:rsid w:val="003907A1"/>
    <w:rsid w:val="0039285E"/>
    <w:rsid w:val="00393003"/>
    <w:rsid w:val="003B0622"/>
    <w:rsid w:val="003B0754"/>
    <w:rsid w:val="003B13BE"/>
    <w:rsid w:val="003B3208"/>
    <w:rsid w:val="003B588B"/>
    <w:rsid w:val="003D140E"/>
    <w:rsid w:val="003D2795"/>
    <w:rsid w:val="003E44E8"/>
    <w:rsid w:val="003E754A"/>
    <w:rsid w:val="003F3031"/>
    <w:rsid w:val="003F303D"/>
    <w:rsid w:val="003F32A8"/>
    <w:rsid w:val="003F52AB"/>
    <w:rsid w:val="003F643D"/>
    <w:rsid w:val="00401C03"/>
    <w:rsid w:val="00413152"/>
    <w:rsid w:val="004161E2"/>
    <w:rsid w:val="004234B8"/>
    <w:rsid w:val="004400D8"/>
    <w:rsid w:val="004429A1"/>
    <w:rsid w:val="004502CA"/>
    <w:rsid w:val="00450C93"/>
    <w:rsid w:val="00453018"/>
    <w:rsid w:val="00454CEA"/>
    <w:rsid w:val="00455CB9"/>
    <w:rsid w:val="004605A5"/>
    <w:rsid w:val="00463CD2"/>
    <w:rsid w:val="0047040A"/>
    <w:rsid w:val="00477072"/>
    <w:rsid w:val="00482E7A"/>
    <w:rsid w:val="00484B1D"/>
    <w:rsid w:val="00486C15"/>
    <w:rsid w:val="0048707F"/>
    <w:rsid w:val="00491389"/>
    <w:rsid w:val="00492454"/>
    <w:rsid w:val="00493563"/>
    <w:rsid w:val="00494922"/>
    <w:rsid w:val="004952E5"/>
    <w:rsid w:val="004A207D"/>
    <w:rsid w:val="004A56AC"/>
    <w:rsid w:val="004A5DAE"/>
    <w:rsid w:val="004B380D"/>
    <w:rsid w:val="004B4F6A"/>
    <w:rsid w:val="004C0316"/>
    <w:rsid w:val="004C09D3"/>
    <w:rsid w:val="004C6581"/>
    <w:rsid w:val="004C65B2"/>
    <w:rsid w:val="004D0807"/>
    <w:rsid w:val="004D0BAD"/>
    <w:rsid w:val="004D13DB"/>
    <w:rsid w:val="004E3384"/>
    <w:rsid w:val="004F5FFE"/>
    <w:rsid w:val="004F7F27"/>
    <w:rsid w:val="005014A1"/>
    <w:rsid w:val="00503A38"/>
    <w:rsid w:val="005045DA"/>
    <w:rsid w:val="00504D44"/>
    <w:rsid w:val="00507D2D"/>
    <w:rsid w:val="00512206"/>
    <w:rsid w:val="00520B9D"/>
    <w:rsid w:val="005325AE"/>
    <w:rsid w:val="00535559"/>
    <w:rsid w:val="00542574"/>
    <w:rsid w:val="0055711E"/>
    <w:rsid w:val="005572EF"/>
    <w:rsid w:val="005579D6"/>
    <w:rsid w:val="00562835"/>
    <w:rsid w:val="00562D67"/>
    <w:rsid w:val="005722C3"/>
    <w:rsid w:val="00584EDA"/>
    <w:rsid w:val="00590D16"/>
    <w:rsid w:val="00591FF2"/>
    <w:rsid w:val="00593239"/>
    <w:rsid w:val="005943BD"/>
    <w:rsid w:val="005B55A9"/>
    <w:rsid w:val="005C1777"/>
    <w:rsid w:val="005C1911"/>
    <w:rsid w:val="005C3A77"/>
    <w:rsid w:val="005C48F7"/>
    <w:rsid w:val="005C6989"/>
    <w:rsid w:val="005C72B0"/>
    <w:rsid w:val="005D3EDE"/>
    <w:rsid w:val="005D4F3E"/>
    <w:rsid w:val="005D627F"/>
    <w:rsid w:val="005E0B34"/>
    <w:rsid w:val="005E2C71"/>
    <w:rsid w:val="005E631F"/>
    <w:rsid w:val="005F35E6"/>
    <w:rsid w:val="005F63AF"/>
    <w:rsid w:val="00603438"/>
    <w:rsid w:val="00603DB1"/>
    <w:rsid w:val="00613C94"/>
    <w:rsid w:val="00620BA3"/>
    <w:rsid w:val="00623A9F"/>
    <w:rsid w:val="006366AA"/>
    <w:rsid w:val="00641653"/>
    <w:rsid w:val="00644165"/>
    <w:rsid w:val="00644AEF"/>
    <w:rsid w:val="00651AEF"/>
    <w:rsid w:val="00657E1B"/>
    <w:rsid w:val="00660BE0"/>
    <w:rsid w:val="006663FA"/>
    <w:rsid w:val="00672F03"/>
    <w:rsid w:val="00682C69"/>
    <w:rsid w:val="00684CE5"/>
    <w:rsid w:val="00691EEE"/>
    <w:rsid w:val="00693631"/>
    <w:rsid w:val="0069731C"/>
    <w:rsid w:val="006A1C1C"/>
    <w:rsid w:val="006A4F79"/>
    <w:rsid w:val="006C4953"/>
    <w:rsid w:val="006D4C97"/>
    <w:rsid w:val="006D662A"/>
    <w:rsid w:val="006D6676"/>
    <w:rsid w:val="006F325A"/>
    <w:rsid w:val="006F32A1"/>
    <w:rsid w:val="006F4340"/>
    <w:rsid w:val="00700E5B"/>
    <w:rsid w:val="00707D8A"/>
    <w:rsid w:val="00715E0A"/>
    <w:rsid w:val="007205C5"/>
    <w:rsid w:val="007232BD"/>
    <w:rsid w:val="00723D83"/>
    <w:rsid w:val="007258CF"/>
    <w:rsid w:val="00727D47"/>
    <w:rsid w:val="00731957"/>
    <w:rsid w:val="0073229C"/>
    <w:rsid w:val="00733757"/>
    <w:rsid w:val="007339E3"/>
    <w:rsid w:val="007362F9"/>
    <w:rsid w:val="007418B1"/>
    <w:rsid w:val="00741A95"/>
    <w:rsid w:val="007519B0"/>
    <w:rsid w:val="00760604"/>
    <w:rsid w:val="0076223C"/>
    <w:rsid w:val="00763086"/>
    <w:rsid w:val="00764229"/>
    <w:rsid w:val="00771CD3"/>
    <w:rsid w:val="00772F4F"/>
    <w:rsid w:val="0077584B"/>
    <w:rsid w:val="007764C2"/>
    <w:rsid w:val="00777F3B"/>
    <w:rsid w:val="00796CE7"/>
    <w:rsid w:val="00796FE9"/>
    <w:rsid w:val="007A0415"/>
    <w:rsid w:val="007A2FFD"/>
    <w:rsid w:val="007A3E38"/>
    <w:rsid w:val="007B1BC6"/>
    <w:rsid w:val="007C150F"/>
    <w:rsid w:val="007C174B"/>
    <w:rsid w:val="007C21F2"/>
    <w:rsid w:val="007C4ED4"/>
    <w:rsid w:val="007C4F48"/>
    <w:rsid w:val="007C58A6"/>
    <w:rsid w:val="007C656C"/>
    <w:rsid w:val="007D3A90"/>
    <w:rsid w:val="007D46C5"/>
    <w:rsid w:val="007D5256"/>
    <w:rsid w:val="007D5C5B"/>
    <w:rsid w:val="007F3FBA"/>
    <w:rsid w:val="007F56CE"/>
    <w:rsid w:val="007F5B8D"/>
    <w:rsid w:val="007F7EE8"/>
    <w:rsid w:val="00800A0F"/>
    <w:rsid w:val="0080557C"/>
    <w:rsid w:val="00806842"/>
    <w:rsid w:val="00807E49"/>
    <w:rsid w:val="00811C8D"/>
    <w:rsid w:val="00814B60"/>
    <w:rsid w:val="008154AF"/>
    <w:rsid w:val="00817D4B"/>
    <w:rsid w:val="00820AAD"/>
    <w:rsid w:val="00821847"/>
    <w:rsid w:val="00822BFC"/>
    <w:rsid w:val="0083036B"/>
    <w:rsid w:val="008333F6"/>
    <w:rsid w:val="00835062"/>
    <w:rsid w:val="00845838"/>
    <w:rsid w:val="00853883"/>
    <w:rsid w:val="00855B2B"/>
    <w:rsid w:val="00857434"/>
    <w:rsid w:val="008650DF"/>
    <w:rsid w:val="0087515C"/>
    <w:rsid w:val="0088010D"/>
    <w:rsid w:val="00883D72"/>
    <w:rsid w:val="00884550"/>
    <w:rsid w:val="0088468C"/>
    <w:rsid w:val="00897CC2"/>
    <w:rsid w:val="008B02CE"/>
    <w:rsid w:val="008B57DC"/>
    <w:rsid w:val="008B58DD"/>
    <w:rsid w:val="008C4C54"/>
    <w:rsid w:val="008C6A45"/>
    <w:rsid w:val="008D3171"/>
    <w:rsid w:val="008D668C"/>
    <w:rsid w:val="008E2773"/>
    <w:rsid w:val="008F0B3B"/>
    <w:rsid w:val="00901597"/>
    <w:rsid w:val="009037CC"/>
    <w:rsid w:val="00903A32"/>
    <w:rsid w:val="00904803"/>
    <w:rsid w:val="00910D8D"/>
    <w:rsid w:val="00910FB1"/>
    <w:rsid w:val="00912A57"/>
    <w:rsid w:val="0091769B"/>
    <w:rsid w:val="0093432A"/>
    <w:rsid w:val="00935D93"/>
    <w:rsid w:val="009379E3"/>
    <w:rsid w:val="0094462A"/>
    <w:rsid w:val="00944954"/>
    <w:rsid w:val="00950E16"/>
    <w:rsid w:val="0095430C"/>
    <w:rsid w:val="0095453C"/>
    <w:rsid w:val="009556C7"/>
    <w:rsid w:val="00956F1D"/>
    <w:rsid w:val="00962C72"/>
    <w:rsid w:val="00974D9B"/>
    <w:rsid w:val="00977904"/>
    <w:rsid w:val="0098751C"/>
    <w:rsid w:val="00996E18"/>
    <w:rsid w:val="009A3434"/>
    <w:rsid w:val="009A63FE"/>
    <w:rsid w:val="009B3D38"/>
    <w:rsid w:val="009D0A33"/>
    <w:rsid w:val="009D26F4"/>
    <w:rsid w:val="009D6E53"/>
    <w:rsid w:val="009F1754"/>
    <w:rsid w:val="00A02DED"/>
    <w:rsid w:val="00A04923"/>
    <w:rsid w:val="00A11A96"/>
    <w:rsid w:val="00A163AB"/>
    <w:rsid w:val="00A17BAF"/>
    <w:rsid w:val="00A2306C"/>
    <w:rsid w:val="00A42DCB"/>
    <w:rsid w:val="00A46771"/>
    <w:rsid w:val="00A52BDD"/>
    <w:rsid w:val="00A5668E"/>
    <w:rsid w:val="00A66C24"/>
    <w:rsid w:val="00A814F1"/>
    <w:rsid w:val="00A81CF9"/>
    <w:rsid w:val="00A83D91"/>
    <w:rsid w:val="00A8426C"/>
    <w:rsid w:val="00A856B1"/>
    <w:rsid w:val="00A90963"/>
    <w:rsid w:val="00AA4B89"/>
    <w:rsid w:val="00AA511A"/>
    <w:rsid w:val="00AB1703"/>
    <w:rsid w:val="00AB6019"/>
    <w:rsid w:val="00AC5018"/>
    <w:rsid w:val="00AC5ADE"/>
    <w:rsid w:val="00AC6031"/>
    <w:rsid w:val="00AD063B"/>
    <w:rsid w:val="00AD1D35"/>
    <w:rsid w:val="00AE00A4"/>
    <w:rsid w:val="00AE2D40"/>
    <w:rsid w:val="00AE5219"/>
    <w:rsid w:val="00AE7BE8"/>
    <w:rsid w:val="00AF2204"/>
    <w:rsid w:val="00AF36E5"/>
    <w:rsid w:val="00B0129B"/>
    <w:rsid w:val="00B11B36"/>
    <w:rsid w:val="00B2049F"/>
    <w:rsid w:val="00B22088"/>
    <w:rsid w:val="00B24FE0"/>
    <w:rsid w:val="00B2704B"/>
    <w:rsid w:val="00B35F19"/>
    <w:rsid w:val="00B56D28"/>
    <w:rsid w:val="00B6196D"/>
    <w:rsid w:val="00B61FC1"/>
    <w:rsid w:val="00B62B12"/>
    <w:rsid w:val="00B72858"/>
    <w:rsid w:val="00B75ABC"/>
    <w:rsid w:val="00B812D3"/>
    <w:rsid w:val="00B822A8"/>
    <w:rsid w:val="00B8275F"/>
    <w:rsid w:val="00B840E9"/>
    <w:rsid w:val="00B86399"/>
    <w:rsid w:val="00B94766"/>
    <w:rsid w:val="00BA14CF"/>
    <w:rsid w:val="00BA24E2"/>
    <w:rsid w:val="00BA3091"/>
    <w:rsid w:val="00BA7C70"/>
    <w:rsid w:val="00BB029C"/>
    <w:rsid w:val="00BB0513"/>
    <w:rsid w:val="00BB6DB5"/>
    <w:rsid w:val="00BC209E"/>
    <w:rsid w:val="00BC41EE"/>
    <w:rsid w:val="00BC5437"/>
    <w:rsid w:val="00BD00B1"/>
    <w:rsid w:val="00BD2537"/>
    <w:rsid w:val="00BD37F8"/>
    <w:rsid w:val="00BD431B"/>
    <w:rsid w:val="00BE5877"/>
    <w:rsid w:val="00BF08FE"/>
    <w:rsid w:val="00BF7144"/>
    <w:rsid w:val="00C076F5"/>
    <w:rsid w:val="00C12EFA"/>
    <w:rsid w:val="00C136B1"/>
    <w:rsid w:val="00C2411B"/>
    <w:rsid w:val="00C24554"/>
    <w:rsid w:val="00C2709D"/>
    <w:rsid w:val="00C3260E"/>
    <w:rsid w:val="00C33D9C"/>
    <w:rsid w:val="00C35592"/>
    <w:rsid w:val="00C3633C"/>
    <w:rsid w:val="00C373AB"/>
    <w:rsid w:val="00C41A2A"/>
    <w:rsid w:val="00C42B5B"/>
    <w:rsid w:val="00C45128"/>
    <w:rsid w:val="00C61FF8"/>
    <w:rsid w:val="00C6244D"/>
    <w:rsid w:val="00C629EF"/>
    <w:rsid w:val="00C66560"/>
    <w:rsid w:val="00C80EEB"/>
    <w:rsid w:val="00C8589D"/>
    <w:rsid w:val="00C93532"/>
    <w:rsid w:val="00CA288E"/>
    <w:rsid w:val="00CB0D56"/>
    <w:rsid w:val="00CB110D"/>
    <w:rsid w:val="00CB79A5"/>
    <w:rsid w:val="00CC1067"/>
    <w:rsid w:val="00CC48C3"/>
    <w:rsid w:val="00CC4E27"/>
    <w:rsid w:val="00CC7990"/>
    <w:rsid w:val="00CD0EEA"/>
    <w:rsid w:val="00CD0F11"/>
    <w:rsid w:val="00CD1330"/>
    <w:rsid w:val="00CD2D14"/>
    <w:rsid w:val="00CD36F4"/>
    <w:rsid w:val="00CD3EFF"/>
    <w:rsid w:val="00CE1652"/>
    <w:rsid w:val="00CF2572"/>
    <w:rsid w:val="00CF627B"/>
    <w:rsid w:val="00D050B4"/>
    <w:rsid w:val="00D10991"/>
    <w:rsid w:val="00D16AC8"/>
    <w:rsid w:val="00D2149E"/>
    <w:rsid w:val="00D2585F"/>
    <w:rsid w:val="00D26E26"/>
    <w:rsid w:val="00D332BB"/>
    <w:rsid w:val="00D3331F"/>
    <w:rsid w:val="00D354A6"/>
    <w:rsid w:val="00D37016"/>
    <w:rsid w:val="00D42ED3"/>
    <w:rsid w:val="00D44542"/>
    <w:rsid w:val="00D44DE9"/>
    <w:rsid w:val="00D45642"/>
    <w:rsid w:val="00D55321"/>
    <w:rsid w:val="00D61654"/>
    <w:rsid w:val="00D61685"/>
    <w:rsid w:val="00D617A8"/>
    <w:rsid w:val="00D650C3"/>
    <w:rsid w:val="00D678A4"/>
    <w:rsid w:val="00D70A1E"/>
    <w:rsid w:val="00D726A5"/>
    <w:rsid w:val="00D74993"/>
    <w:rsid w:val="00D85BFB"/>
    <w:rsid w:val="00D87916"/>
    <w:rsid w:val="00D90A4A"/>
    <w:rsid w:val="00D9110A"/>
    <w:rsid w:val="00DA1C78"/>
    <w:rsid w:val="00DB2934"/>
    <w:rsid w:val="00DB362A"/>
    <w:rsid w:val="00DC0C2A"/>
    <w:rsid w:val="00DC33FD"/>
    <w:rsid w:val="00DC3C26"/>
    <w:rsid w:val="00DD1E3F"/>
    <w:rsid w:val="00DD2286"/>
    <w:rsid w:val="00DD7E2D"/>
    <w:rsid w:val="00DE261C"/>
    <w:rsid w:val="00DE35AC"/>
    <w:rsid w:val="00DE6427"/>
    <w:rsid w:val="00DE6B07"/>
    <w:rsid w:val="00DE72B8"/>
    <w:rsid w:val="00DF0DEC"/>
    <w:rsid w:val="00DF1AD2"/>
    <w:rsid w:val="00DF20F1"/>
    <w:rsid w:val="00DF48B9"/>
    <w:rsid w:val="00DF727E"/>
    <w:rsid w:val="00E06F7D"/>
    <w:rsid w:val="00E06F80"/>
    <w:rsid w:val="00E079B1"/>
    <w:rsid w:val="00E100D3"/>
    <w:rsid w:val="00E1289F"/>
    <w:rsid w:val="00E1337F"/>
    <w:rsid w:val="00E149DB"/>
    <w:rsid w:val="00E14A6C"/>
    <w:rsid w:val="00E163F1"/>
    <w:rsid w:val="00E174E9"/>
    <w:rsid w:val="00E21949"/>
    <w:rsid w:val="00E26E4C"/>
    <w:rsid w:val="00E2717E"/>
    <w:rsid w:val="00E35B06"/>
    <w:rsid w:val="00E43FAF"/>
    <w:rsid w:val="00E477A7"/>
    <w:rsid w:val="00E523DA"/>
    <w:rsid w:val="00E55E5D"/>
    <w:rsid w:val="00E56858"/>
    <w:rsid w:val="00E6238D"/>
    <w:rsid w:val="00E627FA"/>
    <w:rsid w:val="00E62B76"/>
    <w:rsid w:val="00E650F1"/>
    <w:rsid w:val="00E656FC"/>
    <w:rsid w:val="00E6736C"/>
    <w:rsid w:val="00E707B7"/>
    <w:rsid w:val="00E71A1C"/>
    <w:rsid w:val="00E73CAB"/>
    <w:rsid w:val="00E77266"/>
    <w:rsid w:val="00E83649"/>
    <w:rsid w:val="00E85BBC"/>
    <w:rsid w:val="00E87545"/>
    <w:rsid w:val="00E9480C"/>
    <w:rsid w:val="00EA135D"/>
    <w:rsid w:val="00EA1B4D"/>
    <w:rsid w:val="00EA541C"/>
    <w:rsid w:val="00EB1706"/>
    <w:rsid w:val="00EB389B"/>
    <w:rsid w:val="00EB56E3"/>
    <w:rsid w:val="00EB585C"/>
    <w:rsid w:val="00EB7D2B"/>
    <w:rsid w:val="00EC226B"/>
    <w:rsid w:val="00ED5708"/>
    <w:rsid w:val="00EE2A5A"/>
    <w:rsid w:val="00EE38BC"/>
    <w:rsid w:val="00EE525D"/>
    <w:rsid w:val="00EE6978"/>
    <w:rsid w:val="00EE7B2C"/>
    <w:rsid w:val="00EF7372"/>
    <w:rsid w:val="00F00702"/>
    <w:rsid w:val="00F007DE"/>
    <w:rsid w:val="00F0112C"/>
    <w:rsid w:val="00F024BF"/>
    <w:rsid w:val="00F0276C"/>
    <w:rsid w:val="00F1720E"/>
    <w:rsid w:val="00F17FBE"/>
    <w:rsid w:val="00F20A11"/>
    <w:rsid w:val="00F21006"/>
    <w:rsid w:val="00F23F47"/>
    <w:rsid w:val="00F319FD"/>
    <w:rsid w:val="00F4076E"/>
    <w:rsid w:val="00F41F51"/>
    <w:rsid w:val="00F53DDA"/>
    <w:rsid w:val="00F64E80"/>
    <w:rsid w:val="00F659BD"/>
    <w:rsid w:val="00F728C0"/>
    <w:rsid w:val="00F73306"/>
    <w:rsid w:val="00F7720C"/>
    <w:rsid w:val="00F8409A"/>
    <w:rsid w:val="00F86C26"/>
    <w:rsid w:val="00F960E5"/>
    <w:rsid w:val="00F9678F"/>
    <w:rsid w:val="00FA33F5"/>
    <w:rsid w:val="00FA7955"/>
    <w:rsid w:val="00FB2ED6"/>
    <w:rsid w:val="00FB43AF"/>
    <w:rsid w:val="00FB561B"/>
    <w:rsid w:val="00FB7759"/>
    <w:rsid w:val="00FD10F4"/>
    <w:rsid w:val="00FD1A23"/>
    <w:rsid w:val="00FD1ACD"/>
    <w:rsid w:val="00FD342F"/>
    <w:rsid w:val="00FD42CF"/>
    <w:rsid w:val="00FD7BC6"/>
    <w:rsid w:val="00FE1882"/>
    <w:rsid w:val="00FF1BC5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F051C"/>
  <w15:docId w15:val="{FB1E00F6-E78F-49B5-A7F3-069823C7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DDA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F53DDA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53DDA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53DDA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F53DDA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F53DDA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F53DDA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53DDA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F53DDA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DDA"/>
    <w:rPr>
      <w:sz w:val="22"/>
      <w:szCs w:val="20"/>
    </w:rPr>
  </w:style>
  <w:style w:type="paragraph" w:styleId="Tekstpodstawowy3">
    <w:name w:val="Body Text 3"/>
    <w:basedOn w:val="Normalny"/>
    <w:rsid w:val="00F53DDA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F53D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3D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3DDA"/>
  </w:style>
  <w:style w:type="paragraph" w:styleId="Lista">
    <w:name w:val="List"/>
    <w:basedOn w:val="Normalny"/>
    <w:rsid w:val="00F53DDA"/>
    <w:pPr>
      <w:ind w:left="283" w:hanging="283"/>
    </w:pPr>
  </w:style>
  <w:style w:type="paragraph" w:styleId="Lista2">
    <w:name w:val="List 2"/>
    <w:basedOn w:val="Normalny"/>
    <w:rsid w:val="00F53DDA"/>
    <w:pPr>
      <w:ind w:left="566" w:hanging="283"/>
    </w:pPr>
  </w:style>
  <w:style w:type="paragraph" w:styleId="Listapunktowana3">
    <w:name w:val="List Bullet 3"/>
    <w:basedOn w:val="Normalny"/>
    <w:autoRedefine/>
    <w:rsid w:val="00F53DDA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F53DDA"/>
    <w:rPr>
      <w:sz w:val="16"/>
    </w:rPr>
  </w:style>
  <w:style w:type="paragraph" w:styleId="Legenda">
    <w:name w:val="caption"/>
    <w:basedOn w:val="Normalny"/>
    <w:next w:val="Normalny"/>
    <w:qFormat/>
    <w:rsid w:val="00F53DDA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F53DDA"/>
    <w:rPr>
      <w:color w:val="0000FF"/>
      <w:u w:val="single"/>
    </w:rPr>
  </w:style>
  <w:style w:type="character" w:customStyle="1" w:styleId="grame">
    <w:name w:val="grame"/>
    <w:basedOn w:val="Domylnaczcionkaakapitu"/>
    <w:rsid w:val="00F53DDA"/>
  </w:style>
  <w:style w:type="character" w:styleId="UyteHipercze">
    <w:name w:val="FollowedHyperlink"/>
    <w:basedOn w:val="Domylnaczcionkaakapitu"/>
    <w:rsid w:val="00F53DDA"/>
    <w:rPr>
      <w:color w:val="800080"/>
      <w:u w:val="single"/>
    </w:rPr>
  </w:style>
  <w:style w:type="paragraph" w:customStyle="1" w:styleId="Tekstpodstawowy21">
    <w:name w:val="Tekst podstawowy 21"/>
    <w:basedOn w:val="Normalny"/>
    <w:rsid w:val="00F53DDA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F53DDA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F53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F53DD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F53DDA"/>
    <w:rPr>
      <w:b/>
      <w:bCs/>
    </w:rPr>
  </w:style>
  <w:style w:type="character" w:customStyle="1" w:styleId="apple-converted-space">
    <w:name w:val="apple-converted-space"/>
    <w:basedOn w:val="Domylnaczcionkaakapitu"/>
    <w:rsid w:val="00F53DDA"/>
  </w:style>
  <w:style w:type="paragraph" w:styleId="Tekstpodstawowywcity">
    <w:name w:val="Body Text Indent"/>
    <w:basedOn w:val="Normalny"/>
    <w:rsid w:val="00F53DDA"/>
    <w:pPr>
      <w:tabs>
        <w:tab w:val="left" w:pos="1477"/>
        <w:tab w:val="left" w:pos="10912"/>
      </w:tabs>
      <w:spacing w:before="120" w:after="120"/>
      <w:ind w:left="-6"/>
      <w:jc w:val="both"/>
    </w:pPr>
    <w:rPr>
      <w:rFonts w:ascii="Calibri" w:hAnsi="Calibri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26D5B"/>
    <w:rPr>
      <w:sz w:val="16"/>
      <w:szCs w:val="24"/>
    </w:rPr>
  </w:style>
  <w:style w:type="character" w:styleId="Odwoaniedokomentarza">
    <w:name w:val="annotation reference"/>
    <w:basedOn w:val="Domylnaczcionkaakapitu"/>
    <w:rsid w:val="004F5F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5F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5FFE"/>
  </w:style>
  <w:style w:type="paragraph" w:styleId="Tematkomentarza">
    <w:name w:val="annotation subject"/>
    <w:basedOn w:val="Tekstkomentarza"/>
    <w:next w:val="Tekstkomentarza"/>
    <w:link w:val="TematkomentarzaZnak"/>
    <w:rsid w:val="004F5F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5FFE"/>
    <w:rPr>
      <w:b/>
      <w:bCs/>
    </w:rPr>
  </w:style>
  <w:style w:type="paragraph" w:styleId="Tekstdymka">
    <w:name w:val="Balloon Text"/>
    <w:basedOn w:val="Normalny"/>
    <w:link w:val="TekstdymkaZnak"/>
    <w:rsid w:val="004F5F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5F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9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83D91"/>
    <w:rPr>
      <w:b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38EB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7D46C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3689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HANDEL_WEWNATRZWSPOLNOTOWY_EKSPORT_IMPORT</vt:lpstr>
    </vt:vector>
  </TitlesOfParts>
  <Company/>
  <LinksUpToDate>false</LinksUpToDate>
  <CharactersWithSpaces>25778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HANDEL_WEWNATRZWSPOLNOTOWY_EKSPORT_IMPORT</dc:title>
  <dc:subject/>
  <dc:creator>Majchrowski</dc:creator>
  <cp:keywords/>
  <dc:description/>
  <cp:lastModifiedBy>Jerzy Kośmider</cp:lastModifiedBy>
  <cp:revision>12</cp:revision>
  <cp:lastPrinted>2021-05-06T08:21:00Z</cp:lastPrinted>
  <dcterms:created xsi:type="dcterms:W3CDTF">2021-12-18T15:20:00Z</dcterms:created>
  <dcterms:modified xsi:type="dcterms:W3CDTF">2022-06-06T09:45:00Z</dcterms:modified>
</cp:coreProperties>
</file>