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7545BB">
        <w:trPr>
          <w:trHeight w:val="1230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5D574BDA" w:rsidR="00676750" w:rsidRPr="00541DBF" w:rsidRDefault="00541DBF" w:rsidP="00F521A4">
            <w:pPr>
              <w:pStyle w:val="Tekstpodstawowy2"/>
              <w:spacing w:before="280" w:after="24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1DB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EXCEL DL</w:t>
            </w:r>
            <w:r w:rsidR="00F521A4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A DZIAŁÓW </w:t>
            </w:r>
            <w:r w:rsidR="00156C13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KSIĘGO</w:t>
            </w:r>
            <w:r w:rsidR="00F521A4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WYCH                                         I ANALITYKÓW FINANSOWYCH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9A3C2B" w14:paraId="493E7862" w14:textId="77777777" w:rsidTr="00972D01">
        <w:trPr>
          <w:trHeight w:val="965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9A3C2B" w:rsidRDefault="009A3C2B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9A3C2B" w:rsidRDefault="009A3C2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70268B3B" w:rsidR="009A3C2B" w:rsidRDefault="009A3C2B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21-22.09.2021</w:t>
            </w:r>
          </w:p>
        </w:tc>
      </w:tr>
    </w:tbl>
    <w:p w14:paraId="4C3DE970" w14:textId="77777777" w:rsidR="001E2EF2" w:rsidRPr="001E2EF2" w:rsidRDefault="001E2EF2" w:rsidP="00AC4AE8">
      <w:pPr>
        <w:pStyle w:val="Tekstpodstawowy"/>
        <w:spacing w:before="360" w:after="120"/>
        <w:jc w:val="both"/>
        <w:rPr>
          <w:rFonts w:asciiTheme="minorHAnsi" w:hAnsiTheme="minorHAnsi"/>
          <w:b/>
          <w:color w:val="003399"/>
          <w:sz w:val="20"/>
        </w:rPr>
      </w:pPr>
      <w:r w:rsidRPr="001E2EF2">
        <w:rPr>
          <w:rFonts w:asciiTheme="minorHAnsi" w:hAnsiTheme="minorHAnsi"/>
          <w:b/>
          <w:color w:val="003399"/>
          <w:sz w:val="20"/>
        </w:rPr>
        <w:t>Profil uczestników</w:t>
      </w:r>
    </w:p>
    <w:p w14:paraId="7E3140EE" w14:textId="77777777" w:rsidR="001E2EF2" w:rsidRDefault="001E2EF2" w:rsidP="001E2EF2">
      <w:pPr>
        <w:pStyle w:val="Tekstpodstawowy"/>
        <w:spacing w:before="120" w:after="120"/>
        <w:jc w:val="both"/>
        <w:rPr>
          <w:rFonts w:asciiTheme="minorHAnsi" w:hAnsiTheme="minorHAnsi"/>
          <w:sz w:val="20"/>
        </w:rPr>
      </w:pPr>
      <w:r w:rsidRPr="006B767B">
        <w:rPr>
          <w:rFonts w:asciiTheme="minorHAnsi" w:hAnsiTheme="minorHAnsi"/>
          <w:sz w:val="20"/>
        </w:rPr>
        <w:t>Excel dla księgowych przeznaczony jest dla finansistów: księgowych, analityków, pracowników działów finansowych intensywnie wykorzystujących arkusz kalkulacyjny.</w:t>
      </w:r>
      <w:r>
        <w:rPr>
          <w:rFonts w:asciiTheme="minorHAnsi" w:hAnsiTheme="minorHAnsi"/>
          <w:sz w:val="20"/>
        </w:rPr>
        <w:t xml:space="preserve"> </w:t>
      </w:r>
    </w:p>
    <w:p w14:paraId="4294E318" w14:textId="1A2C1D26" w:rsidR="001E2EF2" w:rsidRPr="006B767B" w:rsidRDefault="00B2070C" w:rsidP="001E2EF2">
      <w:pPr>
        <w:pStyle w:val="Tekstpodstawowy"/>
        <w:spacing w:before="120"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Szkolenie</w:t>
      </w:r>
      <w:r w:rsidR="001E2EF2" w:rsidRPr="006B767B">
        <w:rPr>
          <w:rFonts w:asciiTheme="minorHAnsi" w:hAnsiTheme="minorHAnsi"/>
          <w:sz w:val="20"/>
        </w:rPr>
        <w:t xml:space="preserve"> wypełnia lukę pomiędzy księgową wiedzą merytoryczną a wiedzą związaną z zaawansowanym użytkowaniem arkusza Microsoft Excel.</w:t>
      </w:r>
      <w:r w:rsidR="001E2EF2">
        <w:rPr>
          <w:rFonts w:asciiTheme="minorHAnsi" w:hAnsiTheme="minorHAnsi"/>
          <w:sz w:val="20"/>
        </w:rPr>
        <w:t xml:space="preserve"> </w:t>
      </w:r>
      <w:r w:rsidR="001E2EF2" w:rsidRPr="006B767B">
        <w:rPr>
          <w:rFonts w:asciiTheme="minorHAnsi" w:hAnsiTheme="minorHAnsi"/>
          <w:sz w:val="20"/>
        </w:rPr>
        <w:t>Proponowany warsztat to dwa dni intensywnych zajęć</w:t>
      </w:r>
    </w:p>
    <w:p w14:paraId="64D8FAA4" w14:textId="77777777" w:rsidR="001E2EF2" w:rsidRPr="000A28C4" w:rsidRDefault="001E2EF2" w:rsidP="001E2EF2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73144722" w14:textId="77777777" w:rsidR="001E2EF2" w:rsidRPr="006B767B" w:rsidRDefault="001E2EF2" w:rsidP="001E2EF2">
      <w:pPr>
        <w:pStyle w:val="Tekstpodstawowy"/>
        <w:shd w:val="clear" w:color="auto" w:fill="003399"/>
        <w:spacing w:after="120"/>
        <w:jc w:val="both"/>
        <w:rPr>
          <w:rFonts w:asciiTheme="minorHAnsi" w:hAnsiTheme="minorHAnsi"/>
          <w:b/>
          <w:color w:val="FFFFFF" w:themeColor="background1"/>
          <w:sz w:val="20"/>
        </w:rPr>
      </w:pPr>
      <w:r w:rsidRPr="00781818">
        <w:rPr>
          <w:rFonts w:asciiTheme="minorHAnsi" w:hAnsiTheme="minorHAnsi"/>
          <w:b/>
          <w:color w:val="FFFFFF" w:themeColor="background1"/>
          <w:sz w:val="20"/>
        </w:rPr>
        <w:t xml:space="preserve">Korzyści dla uczestników: </w:t>
      </w:r>
    </w:p>
    <w:p w14:paraId="6BF9D038" w14:textId="77777777" w:rsidR="001E2EF2" w:rsidRPr="006B767B" w:rsidRDefault="001E2EF2" w:rsidP="001E2EF2">
      <w:pPr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 xml:space="preserve">Po ukończeniu szkolenia uczestnicy będą w stanie zastosować nabyte umiejętności do kreatywnego wykorzystania programu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6B767B">
        <w:rPr>
          <w:rFonts w:asciiTheme="minorHAnsi" w:hAnsiTheme="minorHAnsi" w:cstheme="minorHAnsi"/>
          <w:sz w:val="20"/>
          <w:szCs w:val="20"/>
        </w:rPr>
        <w:t xml:space="preserve">w codziennej pracy, w analizach danych oraz do budowy skoroszytów, dzięki którym podejmowanie decyzji będzie oparte o rzetelne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6B767B">
        <w:rPr>
          <w:rFonts w:asciiTheme="minorHAnsi" w:hAnsiTheme="minorHAnsi" w:cstheme="minorHAnsi"/>
          <w:sz w:val="20"/>
          <w:szCs w:val="20"/>
        </w:rPr>
        <w:t xml:space="preserve">i dokładne dane. Poznanie technik korzystania z programu Microsoft Excel uczyni pracę łatwiejszą i bardziej efektywną. </w:t>
      </w:r>
    </w:p>
    <w:p w14:paraId="69B5F1B2" w14:textId="77777777" w:rsidR="001E2EF2" w:rsidRPr="006B767B" w:rsidRDefault="001E2EF2" w:rsidP="001E2E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B767B">
        <w:rPr>
          <w:rFonts w:asciiTheme="minorHAnsi" w:hAnsiTheme="minorHAnsi" w:cstheme="minorHAnsi"/>
          <w:b/>
          <w:sz w:val="20"/>
          <w:szCs w:val="20"/>
        </w:rPr>
        <w:t>Po ukończeniu szkolenia każdy uczestnik potrafi:</w:t>
      </w:r>
    </w:p>
    <w:p w14:paraId="04063586" w14:textId="77777777" w:rsidR="001E2EF2" w:rsidRPr="006B767B" w:rsidRDefault="001E2EF2" w:rsidP="001E2EF2">
      <w:pPr>
        <w:numPr>
          <w:ilvl w:val="0"/>
          <w:numId w:val="22"/>
        </w:numPr>
        <w:spacing w:before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6B767B">
        <w:rPr>
          <w:rFonts w:asciiTheme="minorHAnsi" w:hAnsiTheme="minorHAnsi" w:cstheme="minorHAnsi"/>
          <w:sz w:val="20"/>
          <w:szCs w:val="20"/>
        </w:rPr>
        <w:t>kutecznie obliczać i analizować informacje finansowe w swojej firmie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4012D1" w14:textId="77777777" w:rsidR="001E2EF2" w:rsidRPr="006B767B" w:rsidRDefault="001E2EF2" w:rsidP="001E2EF2">
      <w:pPr>
        <w:numPr>
          <w:ilvl w:val="0"/>
          <w:numId w:val="22"/>
        </w:numPr>
        <w:spacing w:before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Budować zaawansowane raporty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6B76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1EE486" w14:textId="77777777" w:rsidR="001E2EF2" w:rsidRPr="006B767B" w:rsidRDefault="001E2EF2" w:rsidP="001E2EF2">
      <w:pPr>
        <w:numPr>
          <w:ilvl w:val="0"/>
          <w:numId w:val="22"/>
        </w:numPr>
        <w:spacing w:before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Tworzyć złożone formuły obliczeniowe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31A141" w14:textId="77777777" w:rsidR="001E2EF2" w:rsidRPr="006B767B" w:rsidRDefault="001E2EF2" w:rsidP="001E2EF2">
      <w:pPr>
        <w:numPr>
          <w:ilvl w:val="0"/>
          <w:numId w:val="22"/>
        </w:numPr>
        <w:spacing w:before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Zautomatyzować wiele powtarzających się czynności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503F368" w14:textId="77777777" w:rsidR="001E2EF2" w:rsidRPr="006B767B" w:rsidRDefault="001E2EF2" w:rsidP="001E2EF2">
      <w:pPr>
        <w:numPr>
          <w:ilvl w:val="0"/>
          <w:numId w:val="22"/>
        </w:numPr>
        <w:spacing w:before="120"/>
        <w:ind w:left="709" w:righ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Skutecznie wykorzystać  tabele,  wykresy przestawne i inne narzędzia analizy danych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9DD0D8" w14:textId="77777777" w:rsidR="001E2EF2" w:rsidRPr="006B767B" w:rsidRDefault="001E2EF2" w:rsidP="001E2EF2">
      <w:pPr>
        <w:numPr>
          <w:ilvl w:val="0"/>
          <w:numId w:val="22"/>
        </w:numPr>
        <w:spacing w:before="120"/>
        <w:ind w:left="709" w:righ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Scalać i konsolidować dane pochodzące z różnych arkuszy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61D62C" w14:textId="77777777" w:rsidR="001E2EF2" w:rsidRDefault="001E2EF2" w:rsidP="001E2EF2"/>
    <w:p w14:paraId="1C621873" w14:textId="77777777" w:rsidR="001E2EF2" w:rsidRDefault="001E2EF2" w:rsidP="001E2EF2">
      <w:pPr>
        <w:rPr>
          <w:sz w:val="4"/>
          <w:szCs w:val="4"/>
        </w:rPr>
      </w:pPr>
    </w:p>
    <w:p w14:paraId="7A50ABAC" w14:textId="77777777" w:rsidR="001E2EF2" w:rsidRPr="00AC4AE8" w:rsidRDefault="001E2EF2" w:rsidP="00AC4AE8">
      <w:pPr>
        <w:shd w:val="clear" w:color="auto" w:fill="003399"/>
        <w:spacing w:before="120" w:after="120"/>
        <w:rPr>
          <w:rFonts w:asciiTheme="minorHAnsi" w:hAnsiTheme="minorHAnsi" w:cstheme="minorHAnsi"/>
          <w:b/>
          <w:color w:val="FFFFFF" w:themeColor="background1"/>
          <w:kern w:val="28"/>
          <w:sz w:val="20"/>
          <w:szCs w:val="20"/>
        </w:rPr>
      </w:pPr>
      <w:r w:rsidRPr="00AC4AE8">
        <w:rPr>
          <w:rFonts w:asciiTheme="minorHAnsi" w:hAnsiTheme="minorHAnsi" w:cstheme="minorHAnsi"/>
          <w:b/>
          <w:color w:val="FFFFFF" w:themeColor="background1"/>
          <w:kern w:val="28"/>
          <w:sz w:val="20"/>
          <w:szCs w:val="20"/>
        </w:rPr>
        <w:t>Metody prowadzenia zajęć:</w:t>
      </w:r>
    </w:p>
    <w:p w14:paraId="03D6D2A9" w14:textId="63BE3A25" w:rsidR="001E2EF2" w:rsidRDefault="00E4062C" w:rsidP="00AC4AE8">
      <w:pPr>
        <w:pStyle w:val="Akapitzlist"/>
        <w:numPr>
          <w:ilvl w:val="0"/>
          <w:numId w:val="23"/>
        </w:numPr>
        <w:spacing w:before="24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Szkolenie prowadzone</w:t>
      </w:r>
      <w:r w:rsidR="001E2EF2" w:rsidRPr="006B767B">
        <w:rPr>
          <w:rFonts w:asciiTheme="minorHAnsi" w:hAnsiTheme="minorHAnsi" w:cstheme="minorHAnsi"/>
          <w:sz w:val="20"/>
          <w:szCs w:val="20"/>
        </w:rPr>
        <w:t xml:space="preserve"> jest nowoczesnymi, interaktywnymi metodami, przy aktywnym zaangażowaniu uczestników. </w:t>
      </w:r>
    </w:p>
    <w:p w14:paraId="635C4388" w14:textId="77777777" w:rsidR="001E2EF2" w:rsidRDefault="001E2EF2" w:rsidP="001E2EF2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 xml:space="preserve">Wszystkie ćwiczenia prowadzone są na podstawie przykładów zaczerpniętych z praktyki. </w:t>
      </w:r>
    </w:p>
    <w:p w14:paraId="6597A3B4" w14:textId="77777777" w:rsidR="001E2EF2" w:rsidRDefault="001E2EF2" w:rsidP="001E2EF2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Zajęcia, pomimo prezentowania złożonej wiedzy merytorycznej, prowadzone są w zrozumiały sposób, zapewniający przyswojenie przekazywanej wiedzy przez każdego uczestnika kursu.</w:t>
      </w:r>
    </w:p>
    <w:p w14:paraId="05700E6E" w14:textId="77777777" w:rsidR="001E2EF2" w:rsidRPr="006B767B" w:rsidRDefault="001E2EF2" w:rsidP="001E2EF2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6B767B">
        <w:rPr>
          <w:rFonts w:asciiTheme="minorHAnsi" w:hAnsiTheme="minorHAnsi" w:cstheme="minorHAnsi"/>
          <w:sz w:val="20"/>
          <w:szCs w:val="20"/>
        </w:rPr>
        <w:t>Każdy uczestnik otrzymuje komplet materiałów oraz kopie elektroniczne ze wszystkimi ćwiczeniami prowadzonymi w ramach kursu oraz przykładowymi arkuszami programu Microsoft Excel.</w:t>
      </w:r>
    </w:p>
    <w:p w14:paraId="36E643DD" w14:textId="77777777" w:rsidR="001E2EF2" w:rsidRDefault="001E2EF2" w:rsidP="001E2EF2">
      <w:pPr>
        <w:pStyle w:val="Tekstpodstawowy"/>
        <w:spacing w:before="360" w:after="120"/>
        <w:jc w:val="both"/>
        <w:rPr>
          <w:rFonts w:asciiTheme="minorHAnsi" w:hAnsiTheme="minorHAnsi"/>
          <w:b/>
          <w:sz w:val="20"/>
        </w:rPr>
      </w:pPr>
    </w:p>
    <w:p w14:paraId="3AC64E13" w14:textId="77777777" w:rsidR="001E2EF2" w:rsidRPr="00781818" w:rsidRDefault="001E2EF2" w:rsidP="001E2EF2">
      <w:pPr>
        <w:pStyle w:val="Tekstpodstawowy"/>
        <w:spacing w:after="120"/>
        <w:jc w:val="both"/>
        <w:rPr>
          <w:rFonts w:asciiTheme="minorHAnsi" w:hAnsiTheme="minorHAnsi"/>
          <w:b/>
          <w:sz w:val="20"/>
        </w:rPr>
      </w:pPr>
    </w:p>
    <w:p w14:paraId="7D4500A7" w14:textId="77777777" w:rsidR="001E2EF2" w:rsidRPr="001E2EF2" w:rsidRDefault="001E2EF2" w:rsidP="001E2EF2">
      <w:pPr>
        <w:pStyle w:val="Tekstpodstawowy"/>
        <w:shd w:val="clear" w:color="auto" w:fill="003399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1E2EF2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PROGRAM WARSZTATU:</w:t>
      </w:r>
    </w:p>
    <w:p w14:paraId="69FB2027" w14:textId="77777777" w:rsidR="001E2EF2" w:rsidRPr="008B2669" w:rsidRDefault="001E2EF2" w:rsidP="001E2EF2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14:paraId="620D5FDE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Porównanie wersji Excela 2003, 2007, 2010, 2013</w:t>
      </w:r>
      <w:r>
        <w:rPr>
          <w:rFonts w:asciiTheme="minorHAnsi" w:hAnsiTheme="minorHAnsi"/>
          <w:b/>
          <w:sz w:val="20"/>
        </w:rPr>
        <w:t>:</w:t>
      </w:r>
    </w:p>
    <w:p w14:paraId="3623B079" w14:textId="77777777" w:rsidR="001E2EF2" w:rsidRPr="008B2669" w:rsidRDefault="001E2EF2" w:rsidP="001E2EF2">
      <w:pPr>
        <w:pStyle w:val="Tekstpodstawowy"/>
        <w:numPr>
          <w:ilvl w:val="0"/>
          <w:numId w:val="25"/>
        </w:numPr>
        <w:ind w:left="754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typy plików,</w:t>
      </w:r>
    </w:p>
    <w:p w14:paraId="1235F038" w14:textId="77777777" w:rsidR="001E2EF2" w:rsidRPr="008B2669" w:rsidRDefault="001E2EF2" w:rsidP="001E2EF2">
      <w:pPr>
        <w:pStyle w:val="Tekstpodstawowy"/>
        <w:numPr>
          <w:ilvl w:val="0"/>
          <w:numId w:val="25"/>
        </w:numPr>
        <w:ind w:left="754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rozwój programu, </w:t>
      </w:r>
    </w:p>
    <w:p w14:paraId="3A4D5B27" w14:textId="77777777" w:rsidR="001E2EF2" w:rsidRPr="008B2669" w:rsidRDefault="001E2EF2" w:rsidP="001E2EF2">
      <w:pPr>
        <w:pStyle w:val="Tekstpodstawowy"/>
        <w:numPr>
          <w:ilvl w:val="0"/>
          <w:numId w:val="25"/>
        </w:numPr>
        <w:ind w:left="754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różnice i cechy wspólne, </w:t>
      </w:r>
    </w:p>
    <w:p w14:paraId="44AEB398" w14:textId="77777777" w:rsidR="001E2EF2" w:rsidRPr="008B2669" w:rsidRDefault="001E2EF2" w:rsidP="001E2EF2">
      <w:pPr>
        <w:pStyle w:val="Tekstpodstawowy"/>
        <w:numPr>
          <w:ilvl w:val="0"/>
          <w:numId w:val="25"/>
        </w:numPr>
        <w:ind w:left="754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komunikacja pomiędzy różnymi wersjami arkusza, </w:t>
      </w:r>
    </w:p>
    <w:p w14:paraId="7D2CB28B" w14:textId="67A5A996" w:rsidR="001E2EF2" w:rsidRPr="008B2669" w:rsidRDefault="001E2EF2" w:rsidP="001E2EF2">
      <w:pPr>
        <w:pStyle w:val="Tekstpodstawowy"/>
        <w:numPr>
          <w:ilvl w:val="0"/>
          <w:numId w:val="25"/>
        </w:numPr>
        <w:ind w:left="754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specyfika wykorzystania aplikacji w dziale księgowym firmy</w:t>
      </w:r>
      <w:r>
        <w:rPr>
          <w:rFonts w:asciiTheme="minorHAnsi" w:hAnsiTheme="minorHAnsi"/>
          <w:sz w:val="20"/>
        </w:rPr>
        <w:t>.</w:t>
      </w:r>
    </w:p>
    <w:p w14:paraId="36CA8704" w14:textId="77777777" w:rsidR="001E2EF2" w:rsidRPr="008B2669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Krótka powtórka :</w:t>
      </w:r>
    </w:p>
    <w:p w14:paraId="12AA7C7F" w14:textId="77777777" w:rsidR="001E2EF2" w:rsidRPr="008B2669" w:rsidRDefault="001E2EF2" w:rsidP="001E2EF2">
      <w:pPr>
        <w:pStyle w:val="Tekstpodstawowy"/>
        <w:numPr>
          <w:ilvl w:val="0"/>
          <w:numId w:val="24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Przegląd możliwości arkusza Microsoft  EXCEL, organizacja programu, organizacja dokumentu </w:t>
      </w:r>
      <w:r>
        <w:rPr>
          <w:rFonts w:asciiTheme="minorHAnsi" w:hAnsiTheme="minorHAnsi"/>
          <w:sz w:val="20"/>
        </w:rPr>
        <w:t>–</w:t>
      </w:r>
      <w:r w:rsidRPr="008B2669">
        <w:rPr>
          <w:rFonts w:asciiTheme="minorHAnsi" w:hAnsiTheme="minorHAnsi"/>
          <w:sz w:val="20"/>
        </w:rPr>
        <w:t xml:space="preserve"> skoroszytu</w:t>
      </w:r>
      <w:r>
        <w:rPr>
          <w:rFonts w:asciiTheme="minorHAnsi" w:hAnsiTheme="minorHAnsi"/>
          <w:sz w:val="20"/>
        </w:rPr>
        <w:t>.</w:t>
      </w:r>
    </w:p>
    <w:p w14:paraId="3176D806" w14:textId="77777777" w:rsidR="001E2EF2" w:rsidRPr="008B2669" w:rsidRDefault="001E2EF2" w:rsidP="001E2EF2">
      <w:pPr>
        <w:pStyle w:val="Tekstpodstawowy"/>
        <w:numPr>
          <w:ilvl w:val="0"/>
          <w:numId w:val="24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Budowanie, modyfikacja, formatowanie arkuszy, tworzenie i wykorzystywanie funkcji</w:t>
      </w:r>
      <w:r>
        <w:rPr>
          <w:rFonts w:asciiTheme="minorHAnsi" w:hAnsiTheme="minorHAnsi"/>
          <w:sz w:val="20"/>
        </w:rPr>
        <w:t>.</w:t>
      </w:r>
    </w:p>
    <w:p w14:paraId="374A2763" w14:textId="77777777" w:rsidR="001E2EF2" w:rsidRPr="008B2669" w:rsidRDefault="001E2EF2" w:rsidP="001E2EF2">
      <w:pPr>
        <w:pStyle w:val="Tekstpodstawowy"/>
        <w:numPr>
          <w:ilvl w:val="0"/>
          <w:numId w:val="24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Korzystanie z </w:t>
      </w:r>
      <w:proofErr w:type="spellStart"/>
      <w:r w:rsidRPr="008B2669">
        <w:rPr>
          <w:rFonts w:asciiTheme="minorHAnsi" w:hAnsiTheme="minorHAnsi"/>
          <w:sz w:val="20"/>
        </w:rPr>
        <w:t>odwołań</w:t>
      </w:r>
      <w:proofErr w:type="spellEnd"/>
      <w:r w:rsidRPr="008B2669">
        <w:rPr>
          <w:rFonts w:asciiTheme="minorHAnsi" w:hAnsiTheme="minorHAnsi"/>
          <w:sz w:val="20"/>
        </w:rPr>
        <w:t xml:space="preserve"> względnych, bezwzględnych i mieszanych w formułach (np. A1, $A$1, $A1, A$1)</w:t>
      </w:r>
      <w:r>
        <w:rPr>
          <w:rFonts w:asciiTheme="minorHAnsi" w:hAnsiTheme="minorHAnsi"/>
          <w:sz w:val="20"/>
        </w:rPr>
        <w:t>.</w:t>
      </w:r>
    </w:p>
    <w:p w14:paraId="32D5C633" w14:textId="77777777" w:rsidR="001E2EF2" w:rsidRDefault="001E2EF2" w:rsidP="001E2EF2">
      <w:pPr>
        <w:pStyle w:val="Tekstpodstawowy"/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Optymalna „personalizacja” programu do pracy, zaawansowane opcje ustawień Excela</w:t>
      </w:r>
      <w:r>
        <w:rPr>
          <w:rFonts w:asciiTheme="minorHAnsi" w:hAnsiTheme="minorHAnsi"/>
          <w:b/>
          <w:sz w:val="20"/>
        </w:rPr>
        <w:t>.</w:t>
      </w:r>
    </w:p>
    <w:p w14:paraId="4E216612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Wykorzystanie nazw lokalnych i globalnych ważnych na jednym arkuszu</w:t>
      </w:r>
      <w:r>
        <w:rPr>
          <w:rFonts w:asciiTheme="minorHAnsi" w:hAnsiTheme="minorHAnsi"/>
          <w:b/>
          <w:sz w:val="20"/>
        </w:rPr>
        <w:t>:</w:t>
      </w:r>
    </w:p>
    <w:p w14:paraId="7255AEAE" w14:textId="77777777" w:rsidR="001E2EF2" w:rsidRPr="008B2669" w:rsidRDefault="001E2EF2" w:rsidP="001E2EF2">
      <w:pPr>
        <w:pStyle w:val="Tekstpodstawowy"/>
        <w:numPr>
          <w:ilvl w:val="0"/>
          <w:numId w:val="27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deklarowanie nazw dynamicznych,</w:t>
      </w:r>
    </w:p>
    <w:p w14:paraId="5C1B49DD" w14:textId="77777777" w:rsidR="001E2EF2" w:rsidRPr="008B2669" w:rsidRDefault="001E2EF2" w:rsidP="001E2EF2">
      <w:pPr>
        <w:pStyle w:val="Tekstpodstawowy"/>
        <w:numPr>
          <w:ilvl w:val="0"/>
          <w:numId w:val="27"/>
        </w:numPr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sz w:val="20"/>
        </w:rPr>
        <w:t>zastosowanie nazw w formułach</w:t>
      </w:r>
      <w:r>
        <w:rPr>
          <w:rFonts w:asciiTheme="minorHAnsi" w:hAnsiTheme="minorHAnsi"/>
          <w:sz w:val="20"/>
        </w:rPr>
        <w:t>.</w:t>
      </w:r>
    </w:p>
    <w:p w14:paraId="1DED787B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Formatowanie warunkowe</w:t>
      </w:r>
      <w:r>
        <w:rPr>
          <w:rFonts w:asciiTheme="minorHAnsi" w:hAnsiTheme="minorHAnsi"/>
          <w:b/>
          <w:sz w:val="20"/>
        </w:rPr>
        <w:t>:</w:t>
      </w:r>
    </w:p>
    <w:p w14:paraId="3A33CE51" w14:textId="77777777" w:rsidR="001E2EF2" w:rsidRPr="008E49EB" w:rsidRDefault="001E2EF2" w:rsidP="001E2EF2">
      <w:pPr>
        <w:pStyle w:val="Tekstpodstawowy"/>
        <w:numPr>
          <w:ilvl w:val="0"/>
          <w:numId w:val="28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warianty zastosowań, </w:t>
      </w:r>
    </w:p>
    <w:p w14:paraId="707EC5C6" w14:textId="77777777" w:rsidR="001E2EF2" w:rsidRPr="008B2669" w:rsidRDefault="001E2EF2" w:rsidP="001E2EF2">
      <w:pPr>
        <w:pStyle w:val="Tekstpodstawowy"/>
        <w:numPr>
          <w:ilvl w:val="0"/>
          <w:numId w:val="28"/>
        </w:numPr>
        <w:spacing w:after="120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edycja formatów warunkowych</w:t>
      </w:r>
      <w:r w:rsidRPr="008E49EB">
        <w:rPr>
          <w:rFonts w:asciiTheme="minorHAnsi" w:hAnsiTheme="minorHAnsi"/>
          <w:sz w:val="20"/>
        </w:rPr>
        <w:t>.</w:t>
      </w:r>
    </w:p>
    <w:p w14:paraId="4A7640A7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Wielokrotne zagnieżdżanie funkcji</w:t>
      </w:r>
      <w:r>
        <w:rPr>
          <w:rFonts w:asciiTheme="minorHAnsi" w:hAnsiTheme="minorHAnsi"/>
          <w:b/>
          <w:sz w:val="20"/>
        </w:rPr>
        <w:t>:</w:t>
      </w:r>
    </w:p>
    <w:p w14:paraId="359B2D19" w14:textId="77777777" w:rsidR="001E2EF2" w:rsidRPr="008E49EB" w:rsidRDefault="001E2EF2" w:rsidP="001E2EF2">
      <w:pPr>
        <w:pStyle w:val="Tekstpodstawowy"/>
        <w:numPr>
          <w:ilvl w:val="0"/>
          <w:numId w:val="29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formuły tablicowe, </w:t>
      </w:r>
    </w:p>
    <w:p w14:paraId="1D1DD72D" w14:textId="77777777" w:rsidR="001E2EF2" w:rsidRPr="008B2669" w:rsidRDefault="001E2EF2" w:rsidP="001E2EF2">
      <w:pPr>
        <w:pStyle w:val="Tekstpodstawowy"/>
        <w:numPr>
          <w:ilvl w:val="0"/>
          <w:numId w:val="29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stałe liczbowe</w:t>
      </w:r>
      <w:r w:rsidRPr="008E49EB">
        <w:rPr>
          <w:rFonts w:asciiTheme="minorHAnsi" w:hAnsiTheme="minorHAnsi"/>
          <w:sz w:val="20"/>
        </w:rPr>
        <w:t>.</w:t>
      </w:r>
    </w:p>
    <w:p w14:paraId="1CD48A94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 xml:space="preserve">Wykorzystanie funkcji Excela z kategorii: </w:t>
      </w:r>
    </w:p>
    <w:p w14:paraId="20D51035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matematyczne, </w:t>
      </w:r>
    </w:p>
    <w:p w14:paraId="28DB7CD3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daty i czasu, </w:t>
      </w:r>
    </w:p>
    <w:p w14:paraId="07506DA4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wyszukiwania i adresu, </w:t>
      </w:r>
    </w:p>
    <w:p w14:paraId="338AEEE4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baz danych, </w:t>
      </w:r>
    </w:p>
    <w:p w14:paraId="73FB7126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finansowych, </w:t>
      </w:r>
    </w:p>
    <w:p w14:paraId="1030B438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logicznych, </w:t>
      </w:r>
    </w:p>
    <w:p w14:paraId="377E9419" w14:textId="77777777" w:rsidR="001E2EF2" w:rsidRPr="008E49EB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tekstowych, </w:t>
      </w:r>
    </w:p>
    <w:p w14:paraId="0E044F10" w14:textId="7EFDD85A" w:rsidR="001E2EF2" w:rsidRPr="008B2669" w:rsidRDefault="001E2EF2" w:rsidP="001E2EF2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sz w:val="20"/>
        </w:rPr>
        <w:t>informacyjnych</w:t>
      </w:r>
      <w:r>
        <w:rPr>
          <w:rFonts w:asciiTheme="minorHAnsi" w:hAnsiTheme="minorHAnsi"/>
          <w:sz w:val="20"/>
        </w:rPr>
        <w:t>.</w:t>
      </w:r>
    </w:p>
    <w:p w14:paraId="5659D355" w14:textId="77777777" w:rsidR="001E2EF2" w:rsidRDefault="001E2EF2" w:rsidP="001E2EF2">
      <w:pPr>
        <w:pStyle w:val="Tekstpodstawowy"/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Inspekcja formuł, sprawdzanie błędów</w:t>
      </w:r>
      <w:r>
        <w:rPr>
          <w:rFonts w:asciiTheme="minorHAnsi" w:hAnsiTheme="minorHAnsi"/>
          <w:b/>
          <w:sz w:val="20"/>
        </w:rPr>
        <w:t>.</w:t>
      </w:r>
    </w:p>
    <w:p w14:paraId="4F0D3866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Technologie pobierania danych ze źródeł zewnętrznych</w:t>
      </w:r>
      <w:r>
        <w:rPr>
          <w:rFonts w:asciiTheme="minorHAnsi" w:hAnsiTheme="minorHAnsi"/>
          <w:b/>
          <w:sz w:val="20"/>
        </w:rPr>
        <w:t>:</w:t>
      </w:r>
    </w:p>
    <w:p w14:paraId="493976B3" w14:textId="77777777" w:rsidR="001E2EF2" w:rsidRPr="008E49EB" w:rsidRDefault="001E2EF2" w:rsidP="001E2EF2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źródła danych Excela, </w:t>
      </w:r>
    </w:p>
    <w:p w14:paraId="3C8B7C1B" w14:textId="77777777" w:rsidR="001E2EF2" w:rsidRPr="008E49EB" w:rsidRDefault="001E2EF2" w:rsidP="001E2EF2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kwerendy baz danych, </w:t>
      </w:r>
    </w:p>
    <w:p w14:paraId="4E24F1CC" w14:textId="77777777" w:rsidR="001E2EF2" w:rsidRPr="008E49EB" w:rsidRDefault="001E2EF2" w:rsidP="001E2EF2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wykorzystanie modułu MS Query, </w:t>
      </w:r>
    </w:p>
    <w:p w14:paraId="7A5CFEB7" w14:textId="77777777" w:rsidR="001E2EF2" w:rsidRPr="008E49EB" w:rsidRDefault="001E2EF2" w:rsidP="001E2EF2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pobieranie danych z różnych źródeł, </w:t>
      </w:r>
    </w:p>
    <w:p w14:paraId="5CA4A9FD" w14:textId="77777777" w:rsidR="001E2EF2" w:rsidRPr="008B2669" w:rsidRDefault="001E2EF2" w:rsidP="001E2EF2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wykorzystanie Internetu – dane w formacie XML</w:t>
      </w:r>
      <w:r w:rsidRPr="008E49EB">
        <w:rPr>
          <w:rFonts w:asciiTheme="minorHAnsi" w:hAnsiTheme="minorHAnsi"/>
          <w:sz w:val="20"/>
        </w:rPr>
        <w:t>.</w:t>
      </w:r>
    </w:p>
    <w:p w14:paraId="341A4453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Stosowanie tabel przestawnych jako narzędzia analizy danych biznesowych</w:t>
      </w:r>
      <w:r>
        <w:rPr>
          <w:rFonts w:asciiTheme="minorHAnsi" w:hAnsiTheme="minorHAnsi"/>
          <w:b/>
          <w:sz w:val="20"/>
        </w:rPr>
        <w:t>:</w:t>
      </w:r>
    </w:p>
    <w:p w14:paraId="6EBBEFD4" w14:textId="77777777" w:rsidR="001E2EF2" w:rsidRPr="008B2669" w:rsidRDefault="001E2EF2" w:rsidP="001E2EF2">
      <w:pPr>
        <w:pStyle w:val="Tekstpodstawowy"/>
        <w:numPr>
          <w:ilvl w:val="0"/>
          <w:numId w:val="32"/>
        </w:numPr>
        <w:spacing w:after="120"/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zasady tworzenia tabel przestawnych</w:t>
      </w:r>
      <w:r w:rsidRPr="00D031EF">
        <w:rPr>
          <w:rFonts w:asciiTheme="minorHAnsi" w:hAnsiTheme="minorHAnsi"/>
          <w:sz w:val="20"/>
        </w:rPr>
        <w:t>.</w:t>
      </w:r>
    </w:p>
    <w:p w14:paraId="3AEC8363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Tworzenie i modyfikowanie tabel przestawnych w oparciu o różne źródła danych</w:t>
      </w:r>
      <w:r>
        <w:rPr>
          <w:rFonts w:asciiTheme="minorHAnsi" w:hAnsiTheme="minorHAnsi"/>
          <w:b/>
          <w:sz w:val="20"/>
        </w:rPr>
        <w:t>:</w:t>
      </w:r>
    </w:p>
    <w:p w14:paraId="1E79520C" w14:textId="77777777" w:rsidR="001E2EF2" w:rsidRPr="00D031EF" w:rsidRDefault="001E2EF2" w:rsidP="001E2EF2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własne pola obliczeniowe, </w:t>
      </w:r>
    </w:p>
    <w:p w14:paraId="2F4D4B1C" w14:textId="118D9CF1" w:rsidR="001E2EF2" w:rsidRPr="00D031EF" w:rsidRDefault="001E2EF2" w:rsidP="001E2EF2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grupowanie danych, </w:t>
      </w:r>
    </w:p>
    <w:p w14:paraId="43474637" w14:textId="77777777" w:rsidR="001E2EF2" w:rsidRPr="00D031EF" w:rsidRDefault="001E2EF2" w:rsidP="001E2EF2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niestandardowe formatowanie danych w tabelach przestawnych, </w:t>
      </w:r>
    </w:p>
    <w:p w14:paraId="205D8C0A" w14:textId="289DE610" w:rsidR="001E2EF2" w:rsidRPr="008B2669" w:rsidRDefault="001E2EF2" w:rsidP="001E2EF2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formatowanie warunkowe w tabeli przestawnej</w:t>
      </w:r>
      <w:r>
        <w:rPr>
          <w:rFonts w:asciiTheme="minorHAnsi" w:hAnsiTheme="minorHAnsi"/>
          <w:sz w:val="20"/>
        </w:rPr>
        <w:t>.</w:t>
      </w:r>
    </w:p>
    <w:p w14:paraId="3FD2303A" w14:textId="77777777" w:rsidR="001E2EF2" w:rsidRPr="008B2669" w:rsidRDefault="001E2EF2" w:rsidP="001E2EF2">
      <w:pPr>
        <w:pStyle w:val="Tekstpodstawowy"/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 xml:space="preserve">Wykorzystanie </w:t>
      </w:r>
      <w:proofErr w:type="spellStart"/>
      <w:r w:rsidRPr="008B2669">
        <w:rPr>
          <w:rFonts w:asciiTheme="minorHAnsi" w:hAnsiTheme="minorHAnsi"/>
          <w:b/>
          <w:sz w:val="20"/>
        </w:rPr>
        <w:t>fragmentatora</w:t>
      </w:r>
      <w:proofErr w:type="spellEnd"/>
      <w:r w:rsidRPr="008B2669">
        <w:rPr>
          <w:rFonts w:asciiTheme="minorHAnsi" w:hAnsiTheme="minorHAnsi"/>
          <w:b/>
          <w:sz w:val="20"/>
        </w:rPr>
        <w:t xml:space="preserve"> w dynamicznej prezentacji danych</w:t>
      </w:r>
      <w:r>
        <w:rPr>
          <w:rFonts w:asciiTheme="minorHAnsi" w:hAnsiTheme="minorHAnsi"/>
          <w:b/>
          <w:sz w:val="20"/>
        </w:rPr>
        <w:t>.</w:t>
      </w:r>
    </w:p>
    <w:p w14:paraId="3E60E988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Funkcje bazodanowe</w:t>
      </w:r>
      <w:r>
        <w:rPr>
          <w:rFonts w:asciiTheme="minorHAnsi" w:hAnsiTheme="minorHAnsi"/>
          <w:b/>
          <w:sz w:val="20"/>
        </w:rPr>
        <w:t>:</w:t>
      </w:r>
    </w:p>
    <w:p w14:paraId="26EBE0D9" w14:textId="77777777" w:rsidR="001E2EF2" w:rsidRPr="00D031EF" w:rsidRDefault="001E2EF2" w:rsidP="001E2EF2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przykłady zastosowań praktycznych, </w:t>
      </w:r>
    </w:p>
    <w:p w14:paraId="421DA186" w14:textId="77777777" w:rsidR="001E2EF2" w:rsidRPr="00D031EF" w:rsidRDefault="001E2EF2" w:rsidP="001E2EF2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dobór kryteriów, </w:t>
      </w:r>
    </w:p>
    <w:p w14:paraId="05CA7078" w14:textId="0DCEB7AD" w:rsidR="001E2EF2" w:rsidRDefault="001E2EF2" w:rsidP="001E2EF2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alternatywa i koniunkcja kryteriów</w:t>
      </w:r>
      <w:r w:rsidRPr="00D031EF">
        <w:rPr>
          <w:rFonts w:asciiTheme="minorHAnsi" w:hAnsiTheme="minorHAnsi"/>
          <w:sz w:val="20"/>
        </w:rPr>
        <w:t>.</w:t>
      </w:r>
    </w:p>
    <w:p w14:paraId="4E692BBB" w14:textId="77777777" w:rsidR="001E2EF2" w:rsidRPr="008B2669" w:rsidRDefault="001E2EF2" w:rsidP="001E2EF2">
      <w:pPr>
        <w:pStyle w:val="Tekstpodstawowy"/>
        <w:ind w:left="720"/>
        <w:rPr>
          <w:rFonts w:asciiTheme="minorHAnsi" w:hAnsiTheme="minorHAnsi"/>
          <w:sz w:val="20"/>
        </w:rPr>
      </w:pPr>
    </w:p>
    <w:p w14:paraId="42495674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Import danych  z plików tekstowych do Excela</w:t>
      </w:r>
      <w:r>
        <w:rPr>
          <w:rFonts w:asciiTheme="minorHAnsi" w:hAnsiTheme="minorHAnsi"/>
          <w:b/>
          <w:sz w:val="20"/>
        </w:rPr>
        <w:t>:</w:t>
      </w:r>
    </w:p>
    <w:p w14:paraId="12867616" w14:textId="77777777" w:rsidR="001E2EF2" w:rsidRPr="00D031EF" w:rsidRDefault="001E2EF2" w:rsidP="001E2EF2">
      <w:pPr>
        <w:pStyle w:val="Tekstpodstawowy"/>
        <w:numPr>
          <w:ilvl w:val="0"/>
          <w:numId w:val="34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analiza danych tekstowych, </w:t>
      </w:r>
    </w:p>
    <w:p w14:paraId="4B6CEA94" w14:textId="77777777" w:rsidR="001E2EF2" w:rsidRPr="008B2669" w:rsidRDefault="001E2EF2" w:rsidP="001E2EF2">
      <w:pPr>
        <w:pStyle w:val="Tekstpodstawowy"/>
        <w:numPr>
          <w:ilvl w:val="0"/>
          <w:numId w:val="34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automatyzacja odświeżania danych.</w:t>
      </w:r>
    </w:p>
    <w:p w14:paraId="2C701FA3" w14:textId="77777777" w:rsidR="001E2EF2" w:rsidRDefault="001E2EF2" w:rsidP="001E2EF2">
      <w:pPr>
        <w:pStyle w:val="Tekstpodstawowy"/>
        <w:numPr>
          <w:ilvl w:val="0"/>
          <w:numId w:val="26"/>
        </w:numPr>
        <w:spacing w:before="120" w:after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Ochrona arkusza, ochrona skoroszytu, walidacja danych</w:t>
      </w:r>
      <w:r>
        <w:rPr>
          <w:rFonts w:asciiTheme="minorHAnsi" w:hAnsiTheme="minorHAnsi"/>
          <w:b/>
          <w:sz w:val="20"/>
        </w:rPr>
        <w:t>.</w:t>
      </w:r>
    </w:p>
    <w:p w14:paraId="647A6AF5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 xml:space="preserve">Optymalizacja rozwiązań złożonych problemów za pomocą dodatku </w:t>
      </w:r>
      <w:proofErr w:type="spellStart"/>
      <w:r w:rsidRPr="008B2669">
        <w:rPr>
          <w:rFonts w:asciiTheme="minorHAnsi" w:hAnsiTheme="minorHAnsi"/>
          <w:b/>
          <w:sz w:val="20"/>
        </w:rPr>
        <w:t>Solver</w:t>
      </w:r>
      <w:proofErr w:type="spellEnd"/>
      <w:r>
        <w:rPr>
          <w:rFonts w:asciiTheme="minorHAnsi" w:hAnsiTheme="minorHAnsi"/>
          <w:b/>
          <w:sz w:val="20"/>
        </w:rPr>
        <w:t>:</w:t>
      </w:r>
    </w:p>
    <w:p w14:paraId="4766226E" w14:textId="77777777" w:rsidR="001E2EF2" w:rsidRPr="008B2669" w:rsidRDefault="001E2EF2" w:rsidP="001E2EF2">
      <w:pPr>
        <w:pStyle w:val="Tekstpodstawowy"/>
        <w:numPr>
          <w:ilvl w:val="0"/>
          <w:numId w:val="35"/>
        </w:numPr>
        <w:spacing w:after="120"/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prognozowanie</w:t>
      </w:r>
      <w:r w:rsidRPr="00615DBF">
        <w:rPr>
          <w:rFonts w:asciiTheme="minorHAnsi" w:hAnsiTheme="minorHAnsi"/>
          <w:sz w:val="20"/>
        </w:rPr>
        <w:t>.</w:t>
      </w:r>
    </w:p>
    <w:p w14:paraId="34439F3E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Przyspieszenie pracy dzięki szablonom Excela</w:t>
      </w:r>
      <w:r>
        <w:rPr>
          <w:rFonts w:asciiTheme="minorHAnsi" w:hAnsiTheme="minorHAnsi"/>
          <w:b/>
          <w:sz w:val="20"/>
        </w:rPr>
        <w:t>:</w:t>
      </w:r>
    </w:p>
    <w:p w14:paraId="2140D9BA" w14:textId="4C8FAD48" w:rsidR="001E2EF2" w:rsidRPr="008B2669" w:rsidRDefault="001E2EF2" w:rsidP="001E2EF2">
      <w:pPr>
        <w:pStyle w:val="Tekstpodstawowy"/>
        <w:numPr>
          <w:ilvl w:val="0"/>
          <w:numId w:val="35"/>
        </w:numPr>
        <w:spacing w:after="120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szablony z makropoleceniami</w:t>
      </w:r>
      <w:r>
        <w:rPr>
          <w:rFonts w:asciiTheme="minorHAnsi" w:hAnsiTheme="minorHAnsi"/>
          <w:sz w:val="20"/>
        </w:rPr>
        <w:t>.</w:t>
      </w:r>
    </w:p>
    <w:p w14:paraId="4FED83FE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Tworzenie formularzy elektronicznych w Excelu</w:t>
      </w:r>
      <w:r>
        <w:rPr>
          <w:rFonts w:asciiTheme="minorHAnsi" w:hAnsiTheme="minorHAnsi"/>
          <w:b/>
          <w:sz w:val="20"/>
        </w:rPr>
        <w:t>:</w:t>
      </w:r>
    </w:p>
    <w:p w14:paraId="65ED95CA" w14:textId="77777777" w:rsidR="001E2EF2" w:rsidRPr="008B2669" w:rsidRDefault="001E2EF2" w:rsidP="001E2EF2">
      <w:pPr>
        <w:pStyle w:val="Tekstpodstawowy"/>
        <w:numPr>
          <w:ilvl w:val="0"/>
          <w:numId w:val="35"/>
        </w:numPr>
        <w:spacing w:after="120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wykorzystywanie w formularzach elementów sterujących (listy, listy rozwijalne, przyciski, pokrętła)</w:t>
      </w:r>
      <w:r>
        <w:rPr>
          <w:rFonts w:asciiTheme="minorHAnsi" w:hAnsiTheme="minorHAnsi"/>
          <w:sz w:val="20"/>
        </w:rPr>
        <w:t>.</w:t>
      </w:r>
    </w:p>
    <w:p w14:paraId="66986383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Rejestrowanie, uruchamianie i edycja makr</w:t>
      </w:r>
      <w:r>
        <w:rPr>
          <w:rFonts w:asciiTheme="minorHAnsi" w:hAnsiTheme="minorHAnsi"/>
          <w:b/>
          <w:sz w:val="20"/>
        </w:rPr>
        <w:t>:</w:t>
      </w:r>
    </w:p>
    <w:p w14:paraId="7F2E7F76" w14:textId="77777777" w:rsidR="001E2EF2" w:rsidRDefault="001E2EF2" w:rsidP="001E2EF2">
      <w:pPr>
        <w:pStyle w:val="Tekstpodstawowy"/>
        <w:numPr>
          <w:ilvl w:val="0"/>
          <w:numId w:val="35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dzielenie długich makr na procedury, </w:t>
      </w:r>
    </w:p>
    <w:p w14:paraId="35DCE122" w14:textId="77777777" w:rsidR="001E2EF2" w:rsidRDefault="001E2EF2" w:rsidP="001E2EF2">
      <w:pPr>
        <w:pStyle w:val="Tekstpodstawowy"/>
        <w:numPr>
          <w:ilvl w:val="0"/>
          <w:numId w:val="35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planowanie nagrywania makr dla optymalnego ich odtwarzania,</w:t>
      </w:r>
    </w:p>
    <w:p w14:paraId="75B59437" w14:textId="77777777" w:rsidR="001E2EF2" w:rsidRPr="008B2669" w:rsidRDefault="001E2EF2" w:rsidP="001E2EF2">
      <w:pPr>
        <w:pStyle w:val="Tekstpodstawowy"/>
        <w:numPr>
          <w:ilvl w:val="0"/>
          <w:numId w:val="35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makra z odwołaniem względnym i bezwzględnym</w:t>
      </w:r>
      <w:r>
        <w:rPr>
          <w:rFonts w:asciiTheme="minorHAnsi" w:hAnsiTheme="minorHAnsi"/>
          <w:sz w:val="20"/>
        </w:rPr>
        <w:t>.</w:t>
      </w:r>
    </w:p>
    <w:p w14:paraId="5203EB07" w14:textId="77777777" w:rsidR="001E2EF2" w:rsidRDefault="001E2EF2" w:rsidP="001E2EF2">
      <w:pPr>
        <w:pStyle w:val="Tekstpodstawowy"/>
        <w:numPr>
          <w:ilvl w:val="0"/>
          <w:numId w:val="26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Konsolidacja danych pochodzących z różnych arkuszy</w:t>
      </w:r>
      <w:r>
        <w:rPr>
          <w:rFonts w:asciiTheme="minorHAnsi" w:hAnsiTheme="minorHAnsi"/>
          <w:b/>
          <w:sz w:val="20"/>
        </w:rPr>
        <w:t>:</w:t>
      </w:r>
    </w:p>
    <w:p w14:paraId="7B5C5EDB" w14:textId="77777777" w:rsidR="001E2EF2" w:rsidRPr="008B2669" w:rsidRDefault="001E2EF2" w:rsidP="001E2EF2">
      <w:pPr>
        <w:pStyle w:val="Tekstpodstawowy"/>
        <w:numPr>
          <w:ilvl w:val="0"/>
          <w:numId w:val="36"/>
        </w:numPr>
        <w:spacing w:after="120"/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różne sposoby konsolidacji</w:t>
      </w:r>
      <w:r w:rsidRPr="00615DBF">
        <w:rPr>
          <w:rFonts w:asciiTheme="minorHAnsi" w:hAnsiTheme="minorHAnsi"/>
          <w:sz w:val="20"/>
        </w:rPr>
        <w:t>.</w:t>
      </w:r>
    </w:p>
    <w:p w14:paraId="21AFE64E" w14:textId="77777777" w:rsidR="001E2EF2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Organizacja pracy z programem Excel w sieci komputerowej:</w:t>
      </w:r>
    </w:p>
    <w:p w14:paraId="742303CB" w14:textId="77777777" w:rsidR="001E2EF2" w:rsidRPr="00615DBF" w:rsidRDefault="001E2EF2" w:rsidP="001E2EF2">
      <w:pPr>
        <w:pStyle w:val="Tekstpodstawowy"/>
        <w:numPr>
          <w:ilvl w:val="0"/>
          <w:numId w:val="36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jednoczesna praca wielu użytkowników na jednym arkuszu, </w:t>
      </w:r>
    </w:p>
    <w:p w14:paraId="7E556B31" w14:textId="77777777" w:rsidR="001E2EF2" w:rsidRPr="00615DBF" w:rsidRDefault="001E2EF2" w:rsidP="001E2EF2">
      <w:pPr>
        <w:pStyle w:val="Tekstpodstawowy"/>
        <w:numPr>
          <w:ilvl w:val="0"/>
          <w:numId w:val="36"/>
        </w:numPr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 xml:space="preserve">łączenie arkuszy i skoroszytów za pomocą sieci komputerowej, </w:t>
      </w:r>
    </w:p>
    <w:p w14:paraId="2DFE3F19" w14:textId="77777777" w:rsidR="001E2EF2" w:rsidRPr="008B2669" w:rsidRDefault="001E2EF2" w:rsidP="001E2EF2">
      <w:pPr>
        <w:pStyle w:val="Tekstpodstawowy"/>
        <w:numPr>
          <w:ilvl w:val="0"/>
          <w:numId w:val="36"/>
        </w:numPr>
        <w:spacing w:after="120"/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scalanie danych z wielu arkuszy</w:t>
      </w:r>
      <w:r>
        <w:rPr>
          <w:rFonts w:asciiTheme="minorHAnsi" w:hAnsiTheme="minorHAnsi"/>
          <w:sz w:val="20"/>
        </w:rPr>
        <w:t>.</w:t>
      </w:r>
    </w:p>
    <w:p w14:paraId="0DC76525" w14:textId="77777777" w:rsidR="001E2EF2" w:rsidRPr="00615DBF" w:rsidRDefault="001E2EF2" w:rsidP="001E2EF2">
      <w:pPr>
        <w:pStyle w:val="Tekstpodstawowy"/>
        <w:numPr>
          <w:ilvl w:val="0"/>
          <w:numId w:val="26"/>
        </w:numPr>
        <w:ind w:left="357" w:hanging="357"/>
        <w:rPr>
          <w:rFonts w:asciiTheme="minorHAnsi" w:hAnsiTheme="minorHAnsi"/>
          <w:b/>
          <w:sz w:val="20"/>
          <w:u w:val="single"/>
        </w:rPr>
      </w:pPr>
      <w:r w:rsidRPr="008B2669">
        <w:rPr>
          <w:rFonts w:asciiTheme="minorHAnsi" w:hAnsiTheme="minorHAnsi"/>
          <w:b/>
          <w:sz w:val="20"/>
        </w:rPr>
        <w:t>Graficzna prezentacja danych księgowych za pomocą wykresów</w:t>
      </w:r>
      <w:r>
        <w:rPr>
          <w:rFonts w:asciiTheme="minorHAnsi" w:hAnsiTheme="minorHAnsi"/>
          <w:b/>
          <w:sz w:val="20"/>
        </w:rPr>
        <w:t>:</w:t>
      </w:r>
    </w:p>
    <w:p w14:paraId="358005B9" w14:textId="77777777" w:rsidR="001E2EF2" w:rsidRPr="00615DBF" w:rsidRDefault="001E2EF2" w:rsidP="001E2EF2">
      <w:pPr>
        <w:pStyle w:val="Tekstpodstawowy"/>
        <w:numPr>
          <w:ilvl w:val="0"/>
          <w:numId w:val="37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wykresy złożone,</w:t>
      </w:r>
    </w:p>
    <w:p w14:paraId="0B68566A" w14:textId="77777777" w:rsidR="001E2EF2" w:rsidRPr="00615DBF" w:rsidRDefault="001E2EF2" w:rsidP="001E2EF2">
      <w:pPr>
        <w:pStyle w:val="Tekstpodstawowy"/>
        <w:numPr>
          <w:ilvl w:val="0"/>
          <w:numId w:val="37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wykresy prezentujące wiele serii danych,</w:t>
      </w:r>
    </w:p>
    <w:p w14:paraId="3CC7C992" w14:textId="77777777" w:rsidR="001E2EF2" w:rsidRPr="00615DBF" w:rsidRDefault="001E2EF2" w:rsidP="001E2EF2">
      <w:pPr>
        <w:pStyle w:val="Tekstpodstawowy"/>
        <w:numPr>
          <w:ilvl w:val="0"/>
          <w:numId w:val="37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analiza trendu na wykresie,</w:t>
      </w:r>
    </w:p>
    <w:p w14:paraId="578CAE32" w14:textId="77777777" w:rsidR="001E2EF2" w:rsidRPr="00615DBF" w:rsidRDefault="001E2EF2" w:rsidP="001E2EF2">
      <w:pPr>
        <w:pStyle w:val="Tekstpodstawowy"/>
        <w:numPr>
          <w:ilvl w:val="0"/>
          <w:numId w:val="37"/>
        </w:numPr>
        <w:ind w:left="714" w:hanging="357"/>
        <w:rPr>
          <w:rFonts w:asciiTheme="minorHAnsi" w:hAnsiTheme="minorHAnsi"/>
          <w:sz w:val="20"/>
        </w:rPr>
      </w:pPr>
      <w:r w:rsidRPr="008B2669">
        <w:rPr>
          <w:rFonts w:asciiTheme="minorHAnsi" w:hAnsiTheme="minorHAnsi"/>
          <w:sz w:val="20"/>
        </w:rPr>
        <w:t>wykresy niestandardowe,</w:t>
      </w:r>
    </w:p>
    <w:p w14:paraId="4B038AEE" w14:textId="77777777" w:rsidR="001E2EF2" w:rsidRPr="008B2669" w:rsidRDefault="001E2EF2" w:rsidP="001E2EF2">
      <w:pPr>
        <w:pStyle w:val="Tekstpodstawowy"/>
        <w:numPr>
          <w:ilvl w:val="0"/>
          <w:numId w:val="37"/>
        </w:numPr>
        <w:spacing w:after="120"/>
        <w:ind w:left="714" w:hanging="357"/>
        <w:rPr>
          <w:rFonts w:asciiTheme="minorHAnsi" w:hAnsiTheme="minorHAnsi"/>
          <w:sz w:val="20"/>
          <w:u w:val="single"/>
        </w:rPr>
      </w:pPr>
      <w:r w:rsidRPr="008B2669">
        <w:rPr>
          <w:rFonts w:asciiTheme="minorHAnsi" w:hAnsiTheme="minorHAnsi"/>
          <w:sz w:val="20"/>
        </w:rPr>
        <w:t>wykresy oparte o dane z tabel przestawnych</w:t>
      </w:r>
      <w:r w:rsidRPr="00615DBF">
        <w:rPr>
          <w:rFonts w:asciiTheme="minorHAnsi" w:hAnsiTheme="minorHAnsi"/>
          <w:sz w:val="20"/>
        </w:rPr>
        <w:t>.</w:t>
      </w:r>
    </w:p>
    <w:p w14:paraId="61F5B356" w14:textId="77777777" w:rsidR="001E2EF2" w:rsidRPr="008B2669" w:rsidRDefault="001E2EF2" w:rsidP="001E2EF2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8B2669">
        <w:rPr>
          <w:rFonts w:asciiTheme="minorHAnsi" w:hAnsiTheme="minorHAnsi"/>
          <w:b/>
          <w:sz w:val="20"/>
        </w:rPr>
        <w:t>Budowanie modeli wielowariantowych z użyciem scenariuszy, podsumowania scenariuszy</w:t>
      </w:r>
      <w:r>
        <w:rPr>
          <w:rFonts w:asciiTheme="minorHAnsi" w:hAnsiTheme="minorHAnsi"/>
          <w:b/>
          <w:sz w:val="20"/>
        </w:rPr>
        <w:t>.</w:t>
      </w:r>
    </w:p>
    <w:p w14:paraId="0EDFC3EC" w14:textId="77777777" w:rsidR="001E2EF2" w:rsidRDefault="001E2EF2" w:rsidP="007545BB">
      <w:pPr>
        <w:spacing w:before="24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FD4F67" w14:textId="77777777" w:rsidR="007545BB" w:rsidRPr="00360D37" w:rsidRDefault="007545BB" w:rsidP="007545BB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6DDBDECF" w14:textId="77777777" w:rsidR="007545BB" w:rsidRPr="00B64DB3" w:rsidRDefault="007545BB" w:rsidP="001E2EF2">
      <w:pPr>
        <w:pStyle w:val="Tekstpodstawowy"/>
        <w:spacing w:before="240"/>
        <w:rPr>
          <w:rFonts w:asciiTheme="minorHAnsi" w:hAnsiTheme="minorHAnsi"/>
          <w:b/>
          <w:bCs/>
          <w:color w:val="003399"/>
          <w:sz w:val="20"/>
        </w:rPr>
      </w:pPr>
      <w:r w:rsidRPr="00B64DB3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26FF947A" w14:textId="3A5F7E30" w:rsidR="007545BB" w:rsidRPr="00CA5334" w:rsidRDefault="007545BB" w:rsidP="007545BB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</w:t>
      </w:r>
      <w:r w:rsidR="001E2EF2">
        <w:rPr>
          <w:rFonts w:asciiTheme="minorHAnsi" w:hAnsiTheme="minorHAnsi"/>
          <w:b/>
          <w:bCs/>
          <w:sz w:val="20"/>
        </w:rPr>
        <w:t xml:space="preserve">                        </w:t>
      </w:r>
      <w:r w:rsidRPr="00CA5334">
        <w:rPr>
          <w:rFonts w:asciiTheme="minorHAnsi" w:hAnsiTheme="minorHAnsi"/>
          <w:b/>
          <w:bCs/>
          <w:sz w:val="20"/>
        </w:rPr>
        <w:t xml:space="preserve">i analiz finansowych. Autor wielu programów szkoleniowych z dziedziny wykorzystania nowych technologii we wspomaganiu zarządzania przepływem informacji w nowoczesnym przedsiębiorstwie. </w:t>
      </w:r>
    </w:p>
    <w:p w14:paraId="35EFDEAB" w14:textId="77777777" w:rsidR="007545BB" w:rsidRPr="00360D37" w:rsidRDefault="007545BB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4E3E1180" w14:textId="3EF78935" w:rsidR="007545BB" w:rsidRDefault="007545BB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39579F3B" w14:textId="71846044" w:rsidR="001E2EF2" w:rsidRDefault="001E2EF2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7E6DF5A1" w14:textId="7C78D039" w:rsidR="001E2EF2" w:rsidRDefault="001E2EF2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41D92447" w14:textId="42517E27" w:rsidR="001E2EF2" w:rsidRDefault="001E2EF2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4B616726" w14:textId="72BEF37E" w:rsidR="001E2EF2" w:rsidRDefault="001E2EF2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22902F0C" w14:textId="77777777" w:rsidR="001E2EF2" w:rsidRDefault="001E2EF2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35B76AC6" w14:textId="77777777" w:rsidR="001E2EF2" w:rsidRDefault="001E2EF2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722C62" w:rsidRDefault="000A580B" w:rsidP="00656465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722C62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7E84B7BB" w14:textId="15F0AD96" w:rsidR="00D12680" w:rsidRDefault="00D12680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42663E31" w14:textId="1313ED56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21BBF7F0" w14:textId="77777777" w:rsidR="0041071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464D5859" w:rsidR="00973605" w:rsidRPr="008B11E5" w:rsidRDefault="00410716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C4251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C4251F">
        <w:rPr>
          <w:rFonts w:ascii="Calibri" w:hAnsi="Calibri"/>
          <w:i/>
          <w:iCs/>
          <w:sz w:val="14"/>
          <w:szCs w:val="14"/>
        </w:rPr>
        <w:t xml:space="preserve">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733757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733757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DB Schenker Rail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EnerSys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3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Kerry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Kurita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proofErr w:type="spellStart"/>
      <w:r w:rsidRPr="008B11E5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5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0D424B4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POCH S.A.,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686DEA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686DEA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Agencja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8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5307ABB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Systems Sp. z o.o.,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710A88B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</w:p>
    <w:p w14:paraId="3C2B0C5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7D24A0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740E01C6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  <w:sectPr w:rsidR="00973605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Firefox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przepustowość łącza internetowego odbiorcy to 10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/s, zalecana: 25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Clickmeeting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59A7F3F" w14:textId="77777777" w:rsidR="00E4062C" w:rsidRPr="00E4062C" w:rsidRDefault="00E4062C" w:rsidP="00E4062C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7B41DD" w14:textId="79DE76D8" w:rsidR="00E4062C" w:rsidRPr="00741A95" w:rsidRDefault="00E4062C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062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11267901" w:rsidR="00722C62" w:rsidRPr="00D61C90" w:rsidRDefault="00AC4AE8" w:rsidP="00AC4AE8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4AE8">
              <w:rPr>
                <w:rFonts w:ascii="Calibri" w:hAnsi="Calibri"/>
                <w:bCs/>
                <w:sz w:val="22"/>
                <w:szCs w:val="22"/>
              </w:rPr>
              <w:t>21-22.09.2021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2420C742" w:rsidR="00AC4AE8" w:rsidRPr="00D61C90" w:rsidRDefault="00AC4AE8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4AE8">
              <w:rPr>
                <w:rFonts w:ascii="Calibri" w:hAnsi="Calibri"/>
                <w:bCs/>
                <w:sz w:val="22"/>
                <w:szCs w:val="22"/>
              </w:rPr>
              <w:t>14.09.2021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Zoom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Meetings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Clickmeeting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38DD5F43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>zaświadczenie ukończenia szkolenia w postaci elektronicznej PDF.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5D0AC083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 xml:space="preserve">Excel dla </w:t>
      </w:r>
      <w:r w:rsidR="005F714A">
        <w:rPr>
          <w:rFonts w:ascii="Calibri" w:hAnsi="Calibri"/>
          <w:b/>
          <w:bCs/>
          <w:iCs/>
          <w:sz w:val="18"/>
          <w:szCs w:val="18"/>
        </w:rPr>
        <w:t>działów księgowych i analityków finansowych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11F" w14:textId="77777777" w:rsidR="008B0BB0" w:rsidRDefault="008B0BB0">
      <w:r>
        <w:separator/>
      </w:r>
    </w:p>
  </w:endnote>
  <w:endnote w:type="continuationSeparator" w:id="0">
    <w:p w14:paraId="07C5C7ED" w14:textId="77777777" w:rsidR="008B0BB0" w:rsidRDefault="008B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DD1" w14:textId="77777777" w:rsidR="008B0BB0" w:rsidRDefault="008B0BB0">
      <w:r>
        <w:separator/>
      </w:r>
    </w:p>
  </w:footnote>
  <w:footnote w:type="continuationSeparator" w:id="0">
    <w:p w14:paraId="6554BF2A" w14:textId="77777777" w:rsidR="008B0BB0" w:rsidRDefault="008B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8286172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82861729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A26"/>
    <w:multiLevelType w:val="hybridMultilevel"/>
    <w:tmpl w:val="A2F2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A99"/>
    <w:multiLevelType w:val="hybridMultilevel"/>
    <w:tmpl w:val="D9DE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556"/>
    <w:multiLevelType w:val="hybridMultilevel"/>
    <w:tmpl w:val="9770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80"/>
    <w:multiLevelType w:val="hybridMultilevel"/>
    <w:tmpl w:val="5A18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BED"/>
    <w:multiLevelType w:val="hybridMultilevel"/>
    <w:tmpl w:val="5B7C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26FE6"/>
    <w:multiLevelType w:val="hybridMultilevel"/>
    <w:tmpl w:val="429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7E90"/>
    <w:multiLevelType w:val="hybridMultilevel"/>
    <w:tmpl w:val="8102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6B88"/>
    <w:multiLevelType w:val="hybridMultilevel"/>
    <w:tmpl w:val="3534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E71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457F20"/>
    <w:multiLevelType w:val="hybridMultilevel"/>
    <w:tmpl w:val="9210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C77"/>
    <w:multiLevelType w:val="hybridMultilevel"/>
    <w:tmpl w:val="929CE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675F"/>
    <w:multiLevelType w:val="hybridMultilevel"/>
    <w:tmpl w:val="D58C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CC9"/>
    <w:multiLevelType w:val="hybridMultilevel"/>
    <w:tmpl w:val="CBB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3B0D"/>
    <w:multiLevelType w:val="hybridMultilevel"/>
    <w:tmpl w:val="67FA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6BE6"/>
    <w:multiLevelType w:val="hybridMultilevel"/>
    <w:tmpl w:val="49B8A2F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2DD8"/>
    <w:multiLevelType w:val="hybridMultilevel"/>
    <w:tmpl w:val="DA4E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BAC"/>
    <w:multiLevelType w:val="hybridMultilevel"/>
    <w:tmpl w:val="ECAE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708E"/>
    <w:multiLevelType w:val="hybridMultilevel"/>
    <w:tmpl w:val="8910B14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63C3C"/>
    <w:multiLevelType w:val="hybridMultilevel"/>
    <w:tmpl w:val="30BA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0894"/>
    <w:multiLevelType w:val="hybridMultilevel"/>
    <w:tmpl w:val="81CA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E19D3"/>
    <w:multiLevelType w:val="hybridMultilevel"/>
    <w:tmpl w:val="BE94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E04"/>
    <w:multiLevelType w:val="hybridMultilevel"/>
    <w:tmpl w:val="865A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426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2A92DDF"/>
    <w:multiLevelType w:val="hybridMultilevel"/>
    <w:tmpl w:val="25AA48F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B1D11"/>
    <w:multiLevelType w:val="hybridMultilevel"/>
    <w:tmpl w:val="828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59A"/>
    <w:multiLevelType w:val="hybridMultilevel"/>
    <w:tmpl w:val="4E604C2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B260B"/>
    <w:multiLevelType w:val="hybridMultilevel"/>
    <w:tmpl w:val="668E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F5D05"/>
    <w:multiLevelType w:val="hybridMultilevel"/>
    <w:tmpl w:val="9F1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0263"/>
    <w:multiLevelType w:val="hybridMultilevel"/>
    <w:tmpl w:val="C450E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6603AA"/>
    <w:multiLevelType w:val="hybridMultilevel"/>
    <w:tmpl w:val="7198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71400"/>
    <w:multiLevelType w:val="hybridMultilevel"/>
    <w:tmpl w:val="D874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36F9A"/>
    <w:multiLevelType w:val="hybridMultilevel"/>
    <w:tmpl w:val="B590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21"/>
  </w:num>
  <w:num w:numId="5">
    <w:abstractNumId w:val="14"/>
  </w:num>
  <w:num w:numId="6">
    <w:abstractNumId w:val="22"/>
  </w:num>
  <w:num w:numId="7">
    <w:abstractNumId w:val="33"/>
  </w:num>
  <w:num w:numId="8">
    <w:abstractNumId w:val="31"/>
  </w:num>
  <w:num w:numId="9">
    <w:abstractNumId w:val="27"/>
  </w:num>
  <w:num w:numId="10">
    <w:abstractNumId w:val="18"/>
  </w:num>
  <w:num w:numId="11">
    <w:abstractNumId w:val="25"/>
  </w:num>
  <w:num w:numId="12">
    <w:abstractNumId w:val="11"/>
  </w:num>
  <w:num w:numId="13">
    <w:abstractNumId w:val="23"/>
  </w:num>
  <w:num w:numId="14">
    <w:abstractNumId w:val="13"/>
  </w:num>
  <w:num w:numId="15">
    <w:abstractNumId w:val="29"/>
  </w:num>
  <w:num w:numId="16">
    <w:abstractNumId w:val="16"/>
  </w:num>
  <w:num w:numId="17">
    <w:abstractNumId w:val="3"/>
  </w:num>
  <w:num w:numId="18">
    <w:abstractNumId w:val="17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24"/>
  </w:num>
  <w:num w:numId="25">
    <w:abstractNumId w:val="15"/>
  </w:num>
  <w:num w:numId="26">
    <w:abstractNumId w:val="19"/>
  </w:num>
  <w:num w:numId="27">
    <w:abstractNumId w:val="26"/>
  </w:num>
  <w:num w:numId="28">
    <w:abstractNumId w:val="10"/>
  </w:num>
  <w:num w:numId="29">
    <w:abstractNumId w:val="6"/>
  </w:num>
  <w:num w:numId="30">
    <w:abstractNumId w:val="20"/>
  </w:num>
  <w:num w:numId="31">
    <w:abstractNumId w:val="0"/>
  </w:num>
  <w:num w:numId="32">
    <w:abstractNumId w:val="4"/>
  </w:num>
  <w:num w:numId="33">
    <w:abstractNumId w:val="28"/>
  </w:num>
  <w:num w:numId="34">
    <w:abstractNumId w:val="7"/>
  </w:num>
  <w:num w:numId="35">
    <w:abstractNumId w:val="36"/>
  </w:num>
  <w:num w:numId="36">
    <w:abstractNumId w:val="34"/>
  </w:num>
  <w:num w:numId="3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9AD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5E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1D77"/>
    <w:rsid w:val="00143ED9"/>
    <w:rsid w:val="00144E4C"/>
    <w:rsid w:val="001459C9"/>
    <w:rsid w:val="00150128"/>
    <w:rsid w:val="00151441"/>
    <w:rsid w:val="00155C5B"/>
    <w:rsid w:val="00156C13"/>
    <w:rsid w:val="00164A85"/>
    <w:rsid w:val="00172EA4"/>
    <w:rsid w:val="00173DCC"/>
    <w:rsid w:val="00175C18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2EF2"/>
    <w:rsid w:val="001E30E1"/>
    <w:rsid w:val="001E6796"/>
    <w:rsid w:val="001F0B36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CE9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677E"/>
    <w:rsid w:val="0029414F"/>
    <w:rsid w:val="00295217"/>
    <w:rsid w:val="002957C5"/>
    <w:rsid w:val="0029592C"/>
    <w:rsid w:val="002A1DF5"/>
    <w:rsid w:val="002A410B"/>
    <w:rsid w:val="002A41EF"/>
    <w:rsid w:val="002A5408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0716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4F77D1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519D6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5F714A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411E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58AD"/>
    <w:rsid w:val="00722C62"/>
    <w:rsid w:val="00722F26"/>
    <w:rsid w:val="00730515"/>
    <w:rsid w:val="00740A75"/>
    <w:rsid w:val="0074102F"/>
    <w:rsid w:val="007419F0"/>
    <w:rsid w:val="00747B11"/>
    <w:rsid w:val="007514D2"/>
    <w:rsid w:val="007545BB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A15E8"/>
    <w:rsid w:val="007A265E"/>
    <w:rsid w:val="007A2BBE"/>
    <w:rsid w:val="007A7958"/>
    <w:rsid w:val="007B1AE7"/>
    <w:rsid w:val="007B2408"/>
    <w:rsid w:val="007B4220"/>
    <w:rsid w:val="007C1D86"/>
    <w:rsid w:val="007C4696"/>
    <w:rsid w:val="007C74F3"/>
    <w:rsid w:val="007D22A1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14578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26F8"/>
    <w:rsid w:val="008675DE"/>
    <w:rsid w:val="00867722"/>
    <w:rsid w:val="00877ADE"/>
    <w:rsid w:val="008835D8"/>
    <w:rsid w:val="00884C8F"/>
    <w:rsid w:val="0088656E"/>
    <w:rsid w:val="00887BB4"/>
    <w:rsid w:val="00893B8D"/>
    <w:rsid w:val="00894F9B"/>
    <w:rsid w:val="00896A16"/>
    <w:rsid w:val="008A211A"/>
    <w:rsid w:val="008A6929"/>
    <w:rsid w:val="008B0BB0"/>
    <w:rsid w:val="008B23BE"/>
    <w:rsid w:val="008B3D43"/>
    <w:rsid w:val="008B5182"/>
    <w:rsid w:val="008B5E30"/>
    <w:rsid w:val="008C0430"/>
    <w:rsid w:val="008C3731"/>
    <w:rsid w:val="008C511F"/>
    <w:rsid w:val="008D03F9"/>
    <w:rsid w:val="008D1744"/>
    <w:rsid w:val="008D3425"/>
    <w:rsid w:val="008D7321"/>
    <w:rsid w:val="008E131B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708FB"/>
    <w:rsid w:val="00972D01"/>
    <w:rsid w:val="00973605"/>
    <w:rsid w:val="00976367"/>
    <w:rsid w:val="00985938"/>
    <w:rsid w:val="009952BD"/>
    <w:rsid w:val="009976F0"/>
    <w:rsid w:val="00997DB2"/>
    <w:rsid w:val="009A3C2B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699A"/>
    <w:rsid w:val="009F4045"/>
    <w:rsid w:val="009F456D"/>
    <w:rsid w:val="009F5DB2"/>
    <w:rsid w:val="009F64C0"/>
    <w:rsid w:val="00A0033D"/>
    <w:rsid w:val="00A00670"/>
    <w:rsid w:val="00A02E83"/>
    <w:rsid w:val="00A03B33"/>
    <w:rsid w:val="00A054E0"/>
    <w:rsid w:val="00A05680"/>
    <w:rsid w:val="00A077B0"/>
    <w:rsid w:val="00A07AC2"/>
    <w:rsid w:val="00A11B9E"/>
    <w:rsid w:val="00A139F3"/>
    <w:rsid w:val="00A21A32"/>
    <w:rsid w:val="00A40B22"/>
    <w:rsid w:val="00A51D80"/>
    <w:rsid w:val="00A521C0"/>
    <w:rsid w:val="00A52C5E"/>
    <w:rsid w:val="00A571FB"/>
    <w:rsid w:val="00A6267D"/>
    <w:rsid w:val="00A72055"/>
    <w:rsid w:val="00A74BDC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4AE8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070C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C4CAE"/>
    <w:rsid w:val="00CC6BEA"/>
    <w:rsid w:val="00CD0DAB"/>
    <w:rsid w:val="00CD5D83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2680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0C20"/>
    <w:rsid w:val="00DE53AF"/>
    <w:rsid w:val="00DF02C2"/>
    <w:rsid w:val="00DF2EA3"/>
    <w:rsid w:val="00DF75FE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062C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0F62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1A4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541F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DAA1-B92A-4A65-8F12-95F86A09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2880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EXCEL_DLA_KSIEGOWYCH</vt:lpstr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EXCEL_DLA_KSIEGOWYCH</dc:title>
  <dc:subject/>
  <dc:creator>Majchrowski</dc:creator>
  <cp:keywords/>
  <dc:description/>
  <cp:lastModifiedBy>Maciej Majchrowski</cp:lastModifiedBy>
  <cp:revision>8</cp:revision>
  <cp:lastPrinted>2021-03-26T10:10:00Z</cp:lastPrinted>
  <dcterms:created xsi:type="dcterms:W3CDTF">2021-03-02T07:47:00Z</dcterms:created>
  <dcterms:modified xsi:type="dcterms:W3CDTF">2021-05-18T14:48:00Z</dcterms:modified>
</cp:coreProperties>
</file>