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43" w:type="dxa"/>
        <w:tblBorders>
          <w:bottom w:val="single" w:sz="4" w:space="0" w:color="auto"/>
        </w:tblBorders>
        <w:shd w:val="clear" w:color="auto" w:fill="008080"/>
        <w:tblLayout w:type="fixed"/>
        <w:tblCellMar>
          <w:left w:w="70" w:type="dxa"/>
          <w:right w:w="70" w:type="dxa"/>
        </w:tblCellMar>
        <w:tblLook w:val="0000" w:firstRow="0" w:lastRow="0" w:firstColumn="0" w:lastColumn="0" w:noHBand="0" w:noVBand="0"/>
      </w:tblPr>
      <w:tblGrid>
        <w:gridCol w:w="5421"/>
        <w:gridCol w:w="5422"/>
      </w:tblGrid>
      <w:tr w:rsidR="00B2049F" w14:paraId="7F45236E" w14:textId="77777777" w:rsidTr="00106873">
        <w:trPr>
          <w:trHeight w:val="484"/>
        </w:trPr>
        <w:tc>
          <w:tcPr>
            <w:tcW w:w="10843" w:type="dxa"/>
            <w:gridSpan w:val="2"/>
            <w:tcBorders>
              <w:bottom w:val="nil"/>
            </w:tcBorders>
            <w:shd w:val="clear" w:color="auto" w:fill="FFC000"/>
          </w:tcPr>
          <w:p w14:paraId="63062EFA" w14:textId="77777777" w:rsidR="00B2049F" w:rsidRPr="00B2049F" w:rsidRDefault="00B2049F" w:rsidP="00A46771">
            <w:pPr>
              <w:spacing w:before="120" w:after="120"/>
              <w:jc w:val="center"/>
              <w:rPr>
                <w:bCs/>
                <w:sz w:val="18"/>
                <w:szCs w:val="18"/>
              </w:rPr>
            </w:pPr>
            <w:r w:rsidRPr="00B2049F">
              <w:rPr>
                <w:rFonts w:ascii="Calibri" w:hAnsi="Calibri"/>
                <w:b/>
                <w:bCs/>
                <w:sz w:val="18"/>
                <w:szCs w:val="18"/>
              </w:rPr>
              <w:t>ZAPRASZAMY PAŃSTWA DO</w:t>
            </w:r>
            <w:r w:rsidR="00512206">
              <w:rPr>
                <w:rFonts w:ascii="Calibri" w:hAnsi="Calibri"/>
                <w:b/>
                <w:bCs/>
                <w:sz w:val="18"/>
                <w:szCs w:val="18"/>
              </w:rPr>
              <w:t xml:space="preserve"> UCZESTNICTWA W SZKOLENIU</w:t>
            </w:r>
            <w:r w:rsidRPr="00B2049F">
              <w:rPr>
                <w:rFonts w:ascii="Calibri" w:hAnsi="Calibri"/>
                <w:b/>
                <w:bCs/>
                <w:sz w:val="18"/>
                <w:szCs w:val="18"/>
              </w:rPr>
              <w:t>:</w:t>
            </w:r>
            <w:r w:rsidRPr="00B2049F">
              <w:rPr>
                <w:rFonts w:ascii="Calibri" w:hAnsi="Calibri"/>
                <w:b/>
                <w:bCs/>
                <w:sz w:val="18"/>
                <w:szCs w:val="18"/>
                <w:u w:val="single"/>
              </w:rPr>
              <w:t xml:space="preserve">  </w:t>
            </w:r>
          </w:p>
        </w:tc>
      </w:tr>
      <w:tr w:rsidR="00B2049F" w14:paraId="2577C8A1" w14:textId="77777777" w:rsidTr="00DC35CD">
        <w:trPr>
          <w:trHeight w:val="1977"/>
        </w:trPr>
        <w:tc>
          <w:tcPr>
            <w:tcW w:w="10843" w:type="dxa"/>
            <w:gridSpan w:val="2"/>
            <w:tcBorders>
              <w:top w:val="nil"/>
              <w:bottom w:val="nil"/>
            </w:tcBorders>
            <w:shd w:val="clear" w:color="auto" w:fill="003399"/>
          </w:tcPr>
          <w:p w14:paraId="1A6D2168" w14:textId="77777777" w:rsidR="00B2049F" w:rsidRDefault="00B2049F">
            <w:pPr>
              <w:spacing w:line="48" w:lineRule="auto"/>
              <w:jc w:val="center"/>
              <w:rPr>
                <w:bCs/>
                <w:color w:val="FFFFFF"/>
                <w:sz w:val="22"/>
              </w:rPr>
            </w:pPr>
          </w:p>
          <w:p w14:paraId="23EFEEF0" w14:textId="77777777" w:rsidR="0095269A" w:rsidRPr="0095269A" w:rsidRDefault="0095269A" w:rsidP="0095269A">
            <w:pPr>
              <w:spacing w:before="240"/>
              <w:jc w:val="center"/>
              <w:rPr>
                <w:rFonts w:ascii="Calibri" w:hAnsi="Calibri"/>
                <w:b/>
                <w:bCs/>
                <w:iCs/>
                <w:color w:val="FFFFFF" w:themeColor="background1"/>
                <w:sz w:val="40"/>
                <w:szCs w:val="40"/>
              </w:rPr>
            </w:pPr>
            <w:r w:rsidRPr="0095269A">
              <w:rPr>
                <w:rFonts w:ascii="Calibri" w:hAnsi="Calibri"/>
                <w:b/>
                <w:bCs/>
                <w:iCs/>
                <w:color w:val="FFFFFF" w:themeColor="background1"/>
                <w:sz w:val="40"/>
                <w:szCs w:val="40"/>
              </w:rPr>
              <w:t xml:space="preserve">AKREDYTYWA EKSPORTOWA </w:t>
            </w:r>
          </w:p>
          <w:p w14:paraId="2141CA45" w14:textId="51771003" w:rsidR="0095269A" w:rsidRPr="0095269A" w:rsidRDefault="0095269A" w:rsidP="0095269A">
            <w:pPr>
              <w:spacing w:after="120"/>
              <w:jc w:val="center"/>
              <w:rPr>
                <w:rFonts w:ascii="Calibri" w:hAnsi="Calibri"/>
                <w:b/>
                <w:bCs/>
                <w:iCs/>
                <w:color w:val="FFFFFF" w:themeColor="background1"/>
                <w:sz w:val="40"/>
                <w:szCs w:val="40"/>
              </w:rPr>
            </w:pPr>
            <w:r w:rsidRPr="0095269A">
              <w:rPr>
                <w:rFonts w:ascii="Calibri" w:hAnsi="Calibri"/>
                <w:b/>
                <w:bCs/>
                <w:iCs/>
                <w:color w:val="FFFFFF" w:themeColor="background1"/>
                <w:sz w:val="40"/>
                <w:szCs w:val="40"/>
              </w:rPr>
              <w:t xml:space="preserve">JAK PRZYGOTOWAĆ DOKUMENTY, ŻEBY BANK ZAPŁACIŁ? </w:t>
            </w:r>
          </w:p>
          <w:p w14:paraId="1362D802" w14:textId="77777777" w:rsidR="0095269A" w:rsidRPr="008912BB" w:rsidRDefault="0095269A" w:rsidP="0095269A">
            <w:pPr>
              <w:jc w:val="center"/>
              <w:rPr>
                <w:rFonts w:ascii="Calibri" w:hAnsi="Calibri"/>
                <w:b/>
                <w:bCs/>
                <w:iCs/>
                <w:color w:val="FFFFFF" w:themeColor="background1"/>
              </w:rPr>
            </w:pPr>
            <w:r w:rsidRPr="008912BB">
              <w:rPr>
                <w:rFonts w:ascii="Calibri" w:hAnsi="Calibri"/>
                <w:b/>
                <w:bCs/>
                <w:iCs/>
                <w:color w:val="FFFFFF" w:themeColor="background1"/>
              </w:rPr>
              <w:t xml:space="preserve">PRAKTYCZNE WARSZTATY DLA EKSPORTERÓW </w:t>
            </w:r>
          </w:p>
          <w:p w14:paraId="7988F1E1" w14:textId="3BC86F4E" w:rsidR="0095269A" w:rsidRPr="008912BB" w:rsidRDefault="0095269A" w:rsidP="0095269A">
            <w:pPr>
              <w:jc w:val="center"/>
              <w:rPr>
                <w:rFonts w:ascii="Calibri" w:hAnsi="Calibri"/>
                <w:b/>
                <w:bCs/>
                <w:iCs/>
                <w:color w:val="FFFFFF" w:themeColor="background1"/>
              </w:rPr>
            </w:pPr>
            <w:r w:rsidRPr="008912BB">
              <w:rPr>
                <w:rFonts w:ascii="Calibri" w:hAnsi="Calibri"/>
                <w:b/>
                <w:bCs/>
                <w:iCs/>
                <w:color w:val="FFFFFF" w:themeColor="background1"/>
              </w:rPr>
              <w:t>NA PRZYKŁADACH AKREDYTYW I DOKUMENTÓW</w:t>
            </w:r>
          </w:p>
          <w:p w14:paraId="7D28E8CC" w14:textId="77777777" w:rsidR="00B2049F" w:rsidRDefault="00B2049F" w:rsidP="0095269A">
            <w:pPr>
              <w:spacing w:after="120"/>
              <w:jc w:val="center"/>
              <w:rPr>
                <w:rFonts w:ascii="Calibri" w:hAnsi="Calibri"/>
                <w:bCs/>
                <w:color w:val="FFFFFF"/>
                <w:sz w:val="16"/>
              </w:rPr>
            </w:pPr>
          </w:p>
        </w:tc>
      </w:tr>
      <w:tr w:rsidR="00DC35CD" w14:paraId="29F8923A" w14:textId="77777777" w:rsidTr="00DC35CD">
        <w:tblPrEx>
          <w:tblBorders>
            <w:bottom w:val="none" w:sz="0" w:space="0" w:color="auto"/>
          </w:tblBorders>
          <w:shd w:val="clear" w:color="auto" w:fill="auto"/>
        </w:tblPrEx>
        <w:trPr>
          <w:cantSplit/>
          <w:trHeight w:val="562"/>
        </w:trPr>
        <w:tc>
          <w:tcPr>
            <w:tcW w:w="5421" w:type="dxa"/>
            <w:tcBorders>
              <w:right w:val="single" w:sz="4" w:space="0" w:color="003399"/>
            </w:tcBorders>
            <w:shd w:val="clear" w:color="auto" w:fill="3366FF"/>
            <w:vAlign w:val="center"/>
          </w:tcPr>
          <w:p w14:paraId="6F4076FA" w14:textId="77777777" w:rsidR="00DC35CD" w:rsidRPr="007362F9" w:rsidRDefault="00DC35CD" w:rsidP="00DE29D8">
            <w:pPr>
              <w:jc w:val="center"/>
              <w:rPr>
                <w:rFonts w:asciiTheme="minorHAnsi" w:hAnsiTheme="minorHAnsi"/>
                <w:b/>
                <w:bCs/>
                <w:color w:val="FFFFFF" w:themeColor="background1"/>
                <w:sz w:val="28"/>
                <w:szCs w:val="28"/>
              </w:rPr>
            </w:pPr>
            <w:r w:rsidRPr="00D046FA">
              <w:rPr>
                <w:rFonts w:ascii="Calibri" w:hAnsi="Calibri"/>
                <w:b/>
                <w:bCs/>
                <w:iCs/>
                <w:color w:val="F2F2F2" w:themeColor="background1" w:themeShade="F2"/>
              </w:rPr>
              <w:t>Szkolenia online – wirtualna sala ATL</w:t>
            </w:r>
          </w:p>
        </w:tc>
        <w:tc>
          <w:tcPr>
            <w:tcW w:w="5422" w:type="dxa"/>
            <w:tcBorders>
              <w:left w:val="single" w:sz="4" w:space="0" w:color="003399"/>
            </w:tcBorders>
            <w:shd w:val="clear" w:color="auto" w:fill="3366FF"/>
            <w:vAlign w:val="center"/>
          </w:tcPr>
          <w:p w14:paraId="0CB229C1" w14:textId="3DE42F9D" w:rsidR="00DC35CD" w:rsidRPr="007362F9" w:rsidRDefault="00DC35CD" w:rsidP="00DE29D8">
            <w:pPr>
              <w:jc w:val="center"/>
              <w:rPr>
                <w:rFonts w:asciiTheme="minorHAnsi" w:hAnsiTheme="minorHAnsi"/>
                <w:b/>
                <w:bCs/>
                <w:color w:val="FFFFFF" w:themeColor="background1"/>
                <w:sz w:val="28"/>
                <w:szCs w:val="28"/>
              </w:rPr>
            </w:pPr>
            <w:r w:rsidRPr="000E68E5">
              <w:rPr>
                <w:rFonts w:ascii="Calibri" w:hAnsi="Calibri"/>
                <w:b/>
                <w:iCs/>
                <w:color w:val="FFFFFF" w:themeColor="background1"/>
              </w:rPr>
              <w:t>Szkolenia stacjonarne</w:t>
            </w:r>
            <w:r w:rsidR="00DB4635">
              <w:rPr>
                <w:rFonts w:ascii="Calibri" w:hAnsi="Calibri"/>
                <w:b/>
                <w:iCs/>
                <w:color w:val="FFFFFF" w:themeColor="background1"/>
              </w:rPr>
              <w:t xml:space="preserve"> w Warszawie</w:t>
            </w:r>
          </w:p>
        </w:tc>
      </w:tr>
      <w:tr w:rsidR="00DC35CD" w14:paraId="5596A6E0" w14:textId="77777777" w:rsidTr="00DC35CD">
        <w:tblPrEx>
          <w:tblBorders>
            <w:bottom w:val="none" w:sz="0" w:space="0" w:color="auto"/>
          </w:tblBorders>
          <w:shd w:val="clear" w:color="auto" w:fill="auto"/>
        </w:tblPrEx>
        <w:trPr>
          <w:cantSplit/>
          <w:trHeight w:val="1182"/>
        </w:trPr>
        <w:tc>
          <w:tcPr>
            <w:tcW w:w="5421" w:type="dxa"/>
            <w:tcBorders>
              <w:bottom w:val="single" w:sz="2" w:space="0" w:color="000099"/>
              <w:right w:val="single" w:sz="2" w:space="0" w:color="000099"/>
            </w:tcBorders>
            <w:shd w:val="clear" w:color="auto" w:fill="F2F2F2" w:themeFill="background1" w:themeFillShade="F2"/>
            <w:vAlign w:val="center"/>
          </w:tcPr>
          <w:p w14:paraId="633D50F3" w14:textId="77777777" w:rsidR="008F5526" w:rsidRDefault="00DB4635" w:rsidP="00BB204A">
            <w:pPr>
              <w:jc w:val="center"/>
              <w:rPr>
                <w:rFonts w:asciiTheme="minorHAnsi" w:hAnsiTheme="minorHAnsi"/>
              </w:rPr>
            </w:pPr>
            <w:r>
              <w:rPr>
                <w:rFonts w:asciiTheme="minorHAnsi" w:hAnsiTheme="minorHAnsi"/>
              </w:rPr>
              <w:t>04</w:t>
            </w:r>
            <w:r w:rsidR="008F5526">
              <w:rPr>
                <w:rFonts w:asciiTheme="minorHAnsi" w:hAnsiTheme="minorHAnsi"/>
              </w:rPr>
              <w:t>.0</w:t>
            </w:r>
            <w:r>
              <w:rPr>
                <w:rFonts w:asciiTheme="minorHAnsi" w:hAnsiTheme="minorHAnsi"/>
              </w:rPr>
              <w:t>6</w:t>
            </w:r>
            <w:r w:rsidR="008F5526">
              <w:rPr>
                <w:rFonts w:asciiTheme="minorHAnsi" w:hAnsiTheme="minorHAnsi"/>
              </w:rPr>
              <w:t>.2024</w:t>
            </w:r>
          </w:p>
          <w:p w14:paraId="79C7B094" w14:textId="77777777" w:rsidR="00DB4635" w:rsidRDefault="00DB4635" w:rsidP="00BB204A">
            <w:pPr>
              <w:jc w:val="center"/>
              <w:rPr>
                <w:rFonts w:asciiTheme="minorHAnsi" w:hAnsiTheme="minorHAnsi"/>
              </w:rPr>
            </w:pPr>
            <w:r>
              <w:rPr>
                <w:rFonts w:asciiTheme="minorHAnsi" w:hAnsiTheme="minorHAnsi"/>
              </w:rPr>
              <w:t>09.10.2024</w:t>
            </w:r>
          </w:p>
          <w:p w14:paraId="42FA18F0" w14:textId="3C9A03D9" w:rsidR="00DB4635" w:rsidRPr="008F5526" w:rsidRDefault="00DB4635" w:rsidP="00BB204A">
            <w:pPr>
              <w:jc w:val="center"/>
              <w:rPr>
                <w:rFonts w:asciiTheme="minorHAnsi" w:hAnsiTheme="minorHAnsi"/>
              </w:rPr>
            </w:pPr>
            <w:r>
              <w:rPr>
                <w:rFonts w:asciiTheme="minorHAnsi" w:hAnsiTheme="minorHAnsi"/>
              </w:rPr>
              <w:t>11.12.2024</w:t>
            </w:r>
          </w:p>
        </w:tc>
        <w:tc>
          <w:tcPr>
            <w:tcW w:w="5422" w:type="dxa"/>
            <w:tcBorders>
              <w:left w:val="single" w:sz="2" w:space="0" w:color="000099"/>
              <w:bottom w:val="single" w:sz="2" w:space="0" w:color="000099"/>
            </w:tcBorders>
            <w:shd w:val="clear" w:color="auto" w:fill="F2F2F2" w:themeFill="background1" w:themeFillShade="F2"/>
            <w:vAlign w:val="center"/>
          </w:tcPr>
          <w:p w14:paraId="0872F5AA" w14:textId="77777777" w:rsidR="008F5526" w:rsidRDefault="00DB4635" w:rsidP="00BB204A">
            <w:pPr>
              <w:jc w:val="center"/>
              <w:rPr>
                <w:rFonts w:asciiTheme="minorHAnsi" w:hAnsiTheme="minorHAnsi"/>
              </w:rPr>
            </w:pPr>
            <w:r>
              <w:rPr>
                <w:rFonts w:asciiTheme="minorHAnsi" w:hAnsiTheme="minorHAnsi"/>
              </w:rPr>
              <w:t>03</w:t>
            </w:r>
            <w:r w:rsidR="008F5526" w:rsidRPr="008F5526">
              <w:rPr>
                <w:rFonts w:asciiTheme="minorHAnsi" w:hAnsiTheme="minorHAnsi"/>
              </w:rPr>
              <w:t>.0</w:t>
            </w:r>
            <w:r>
              <w:rPr>
                <w:rFonts w:asciiTheme="minorHAnsi" w:hAnsiTheme="minorHAnsi"/>
              </w:rPr>
              <w:t>6</w:t>
            </w:r>
            <w:r w:rsidR="008F5526" w:rsidRPr="008F5526">
              <w:rPr>
                <w:rFonts w:asciiTheme="minorHAnsi" w:hAnsiTheme="minorHAnsi"/>
              </w:rPr>
              <w:t>.2024</w:t>
            </w:r>
          </w:p>
          <w:p w14:paraId="3DBBCD84" w14:textId="77777777" w:rsidR="00DB4635" w:rsidRDefault="00DB4635" w:rsidP="00BB204A">
            <w:pPr>
              <w:jc w:val="center"/>
              <w:rPr>
                <w:rFonts w:asciiTheme="minorHAnsi" w:hAnsiTheme="minorHAnsi"/>
              </w:rPr>
            </w:pPr>
            <w:r>
              <w:rPr>
                <w:rFonts w:asciiTheme="minorHAnsi" w:hAnsiTheme="minorHAnsi"/>
              </w:rPr>
              <w:t>07.10.2024</w:t>
            </w:r>
          </w:p>
          <w:p w14:paraId="22A957B6" w14:textId="5C673C5E" w:rsidR="00DB4635" w:rsidRPr="008F5526" w:rsidRDefault="00DB4635" w:rsidP="00BB204A">
            <w:pPr>
              <w:jc w:val="center"/>
              <w:rPr>
                <w:rFonts w:asciiTheme="minorHAnsi" w:hAnsiTheme="minorHAnsi"/>
              </w:rPr>
            </w:pPr>
            <w:r>
              <w:rPr>
                <w:rFonts w:asciiTheme="minorHAnsi" w:hAnsiTheme="minorHAnsi"/>
              </w:rPr>
              <w:t>09.12.2024</w:t>
            </w:r>
          </w:p>
        </w:tc>
      </w:tr>
    </w:tbl>
    <w:p w14:paraId="59DB14E2" w14:textId="77777777" w:rsidR="0083036B" w:rsidRDefault="0083036B" w:rsidP="0083036B">
      <w:pPr>
        <w:shd w:val="clear" w:color="auto" w:fill="FFFFFF" w:themeFill="background1"/>
        <w:ind w:left="142" w:right="-1" w:hanging="142"/>
        <w:rPr>
          <w:rFonts w:ascii="Calibri" w:hAnsi="Calibri"/>
          <w:b/>
          <w:iCs/>
          <w:sz w:val="20"/>
          <w:szCs w:val="20"/>
        </w:rPr>
      </w:pPr>
    </w:p>
    <w:p w14:paraId="65CDEEF9" w14:textId="77777777" w:rsidR="0095269A" w:rsidRPr="0095269A" w:rsidRDefault="0095269A" w:rsidP="000C416F">
      <w:pPr>
        <w:spacing w:after="240"/>
        <w:jc w:val="both"/>
        <w:rPr>
          <w:rFonts w:ascii="Calibri" w:hAnsi="Calibri"/>
          <w:b/>
          <w:bCs/>
          <w:iCs/>
          <w:sz w:val="18"/>
          <w:szCs w:val="18"/>
        </w:rPr>
      </w:pPr>
      <w:r w:rsidRPr="0095269A">
        <w:rPr>
          <w:rFonts w:ascii="Calibri" w:hAnsi="Calibri"/>
          <w:b/>
          <w:iCs/>
          <w:sz w:val="18"/>
          <w:szCs w:val="18"/>
        </w:rPr>
        <w:t xml:space="preserve">Program stanowi kontynuację szkolenia - </w:t>
      </w:r>
      <w:r w:rsidRPr="0095269A">
        <w:rPr>
          <w:rFonts w:ascii="Calibri" w:hAnsi="Calibri"/>
          <w:b/>
          <w:bCs/>
          <w:iCs/>
          <w:sz w:val="18"/>
          <w:szCs w:val="18"/>
        </w:rPr>
        <w:t>AKREDYTYWA DOKUMENTOWA - SKUTECZNE ZABEZPIECZENIE PŁATNOŚCI. PRAKTYKA HANDLOWA WG. NOWYCH ZWYCZAJÓW UCP 600 I ISBP 745 ORAZ NOWA ALTERNATYWA L/C - BPO WG. ZWYCZAJÓW URBPO. Program może być także realizowany niezależnie, bo stanowi odrębną całość, w szczególności, jeżeli uczestnicy posiadają doświadczenie w posługiwaniu się akredytywą.</w:t>
      </w:r>
    </w:p>
    <w:p w14:paraId="400E8EFE" w14:textId="3856E3C0" w:rsidR="00C66560" w:rsidRPr="000C416F" w:rsidRDefault="00C66560" w:rsidP="000C416F">
      <w:pPr>
        <w:shd w:val="clear" w:color="auto" w:fill="003399"/>
        <w:spacing w:before="120"/>
        <w:ind w:left="142" w:right="-1" w:hanging="142"/>
        <w:rPr>
          <w:rFonts w:ascii="Calibri" w:hAnsi="Calibri"/>
          <w:b/>
          <w:iCs/>
          <w:color w:val="FFFFFF" w:themeColor="background1"/>
          <w:sz w:val="20"/>
          <w:szCs w:val="20"/>
        </w:rPr>
      </w:pPr>
      <w:r w:rsidRPr="000C416F">
        <w:rPr>
          <w:rFonts w:ascii="Calibri" w:hAnsi="Calibri"/>
          <w:b/>
          <w:iCs/>
          <w:color w:val="FFFFFF" w:themeColor="background1"/>
          <w:sz w:val="20"/>
          <w:szCs w:val="20"/>
        </w:rPr>
        <w:t>Dlaczego ten temat zasługuje na szczególną uwagę:</w:t>
      </w:r>
    </w:p>
    <w:p w14:paraId="3B36F212" w14:textId="77777777" w:rsidR="000C416F" w:rsidRPr="000C416F" w:rsidRDefault="000C416F" w:rsidP="00B86BCB">
      <w:pPr>
        <w:spacing w:before="120" w:after="120"/>
        <w:jc w:val="both"/>
        <w:rPr>
          <w:rFonts w:ascii="Calibri" w:hAnsi="Calibri"/>
          <w:bCs/>
          <w:iCs/>
          <w:sz w:val="20"/>
          <w:szCs w:val="20"/>
        </w:rPr>
      </w:pPr>
      <w:r w:rsidRPr="000C416F">
        <w:rPr>
          <w:rFonts w:ascii="Calibri" w:hAnsi="Calibri"/>
          <w:bCs/>
          <w:iCs/>
          <w:sz w:val="20"/>
          <w:szCs w:val="20"/>
        </w:rPr>
        <w:t xml:space="preserve">Największym paradoksem akredytywy dla eksportera jest fakt, że ten sposób płatności ma zabezpieczać jego interesy, to eksporter jest beneficjentem akredytywy, to eksporter dąży w negocjacjach handlowych do akredytywy i … to eksporter ma z akredytywą największe kłopoty, które mogą poważnie zagrozić otrzymaniem płatności za wysłany towar. </w:t>
      </w:r>
    </w:p>
    <w:p w14:paraId="597FCE1E" w14:textId="77777777" w:rsidR="000C416F" w:rsidRPr="000C416F" w:rsidRDefault="000C416F" w:rsidP="00B86BCB">
      <w:pPr>
        <w:spacing w:after="120"/>
        <w:jc w:val="both"/>
        <w:rPr>
          <w:rFonts w:ascii="Calibri" w:hAnsi="Calibri"/>
          <w:bCs/>
          <w:iCs/>
          <w:sz w:val="20"/>
          <w:szCs w:val="20"/>
        </w:rPr>
      </w:pPr>
      <w:r w:rsidRPr="000C416F">
        <w:rPr>
          <w:rFonts w:ascii="Calibri" w:hAnsi="Calibri"/>
          <w:bCs/>
          <w:iCs/>
          <w:sz w:val="20"/>
          <w:szCs w:val="20"/>
        </w:rPr>
        <w:t>Niestety, brak szerokiej wiedzy na ten temat powoduje liczne błędy na etapie przygotowania dokumentów, składanych w ramach akredytywy, w tym generowanie niepotrzebnych kosztów. Badania wykazują, że handlowcy eksportera mają jedynie 30 procent szansy na to, że bank, w którym składają dokumenty nie znajdzie błędów w tych dokumentach i nie zgłosi zastrzeżeń.  Nie można tu polegać na doświadczeniu, bo zmieniają się nie tylko dokumenty, procedury, ale także zwyczaje w tym zakresie. Naszym celem jest pokazanie, jak działać prawidłowo, argumentować to właściwymi uregulowaniami i oszczędzić na opłatach z tego tytułu. Oszczędności bieżące i ograniczenie kosztownej odpowiedzialności w przyszłości są argumentami, za traktowaniem naszego szkolenia jako niezbędnej inwestycji.</w:t>
      </w:r>
    </w:p>
    <w:p w14:paraId="1ECB9666" w14:textId="77777777" w:rsidR="00892BA8" w:rsidRPr="00892BA8" w:rsidRDefault="00892BA8" w:rsidP="00892BA8">
      <w:pPr>
        <w:jc w:val="both"/>
        <w:rPr>
          <w:rFonts w:ascii="Calibri" w:hAnsi="Calibri"/>
          <w:b/>
          <w:iCs/>
          <w:color w:val="003399"/>
          <w:sz w:val="20"/>
          <w:szCs w:val="20"/>
        </w:rPr>
      </w:pPr>
      <w:r w:rsidRPr="00892BA8">
        <w:rPr>
          <w:rFonts w:ascii="Calibri" w:hAnsi="Calibri"/>
          <w:b/>
          <w:iCs/>
          <w:color w:val="003399"/>
          <w:sz w:val="20"/>
          <w:szCs w:val="20"/>
        </w:rPr>
        <w:t xml:space="preserve">Do kogo kierujemy nasze szkolenie: </w:t>
      </w:r>
    </w:p>
    <w:p w14:paraId="03557823" w14:textId="77777777" w:rsidR="00892BA8" w:rsidRPr="00892BA8" w:rsidRDefault="00892BA8" w:rsidP="00B86BCB">
      <w:pPr>
        <w:spacing w:after="240"/>
        <w:jc w:val="both"/>
        <w:rPr>
          <w:rFonts w:ascii="Calibri" w:hAnsi="Calibri"/>
          <w:iCs/>
          <w:sz w:val="20"/>
          <w:szCs w:val="20"/>
        </w:rPr>
      </w:pPr>
      <w:r w:rsidRPr="00892BA8">
        <w:rPr>
          <w:rFonts w:ascii="Calibri" w:hAnsi="Calibri"/>
          <w:iCs/>
          <w:sz w:val="20"/>
          <w:szCs w:val="20"/>
        </w:rPr>
        <w:t>Pracowników, w tym kadry menedżerskiej z działów: sprzedaży, eksportu, finansów, realizacji umów oraz wszystkich osób odpowiedzialnych za negocjowanie, zawieranie i rozliczanie umów handlowych, a także pracowników banków.</w:t>
      </w:r>
    </w:p>
    <w:p w14:paraId="282329C6" w14:textId="30C885ED" w:rsidR="00C66560" w:rsidRDefault="00E62B76" w:rsidP="0083036B">
      <w:pPr>
        <w:shd w:val="clear" w:color="auto" w:fill="003399"/>
        <w:spacing w:before="120" w:after="120"/>
        <w:ind w:left="142" w:hanging="142"/>
        <w:rPr>
          <w:rFonts w:ascii="Calibri" w:hAnsi="Calibri"/>
          <w:b/>
          <w:iCs/>
          <w:color w:val="FFFFFF"/>
          <w:sz w:val="20"/>
        </w:rPr>
      </w:pPr>
      <w:r>
        <w:rPr>
          <w:rFonts w:ascii="Calibri" w:hAnsi="Calibri"/>
          <w:b/>
          <w:iCs/>
          <w:color w:val="FFFFFF"/>
          <w:sz w:val="20"/>
        </w:rPr>
        <w:t>Cel szkolenia</w:t>
      </w:r>
      <w:r w:rsidR="005C48F7">
        <w:rPr>
          <w:rFonts w:ascii="Calibri" w:hAnsi="Calibri"/>
          <w:b/>
          <w:iCs/>
          <w:color w:val="FFFFFF"/>
          <w:sz w:val="20"/>
        </w:rPr>
        <w:t xml:space="preserve"> – dzięki udziale w szkoleniu uczestnicy</w:t>
      </w:r>
    </w:p>
    <w:p w14:paraId="091A9954" w14:textId="77777777" w:rsidR="00B86BCB" w:rsidRPr="00B86BCB" w:rsidRDefault="00E62B76" w:rsidP="00B86BCB">
      <w:pPr>
        <w:pStyle w:val="Akapitzlist"/>
        <w:numPr>
          <w:ilvl w:val="0"/>
          <w:numId w:val="14"/>
        </w:numPr>
        <w:spacing w:before="120" w:after="40"/>
        <w:ind w:left="714" w:hanging="357"/>
        <w:contextualSpacing w:val="0"/>
        <w:jc w:val="both"/>
        <w:rPr>
          <w:rFonts w:ascii="Calibri" w:hAnsi="Calibri"/>
          <w:b/>
          <w:bCs/>
          <w:iCs/>
          <w:color w:val="003399"/>
          <w:sz w:val="20"/>
          <w:szCs w:val="20"/>
        </w:rPr>
      </w:pPr>
      <w:r w:rsidRPr="005C48F7">
        <w:rPr>
          <w:rFonts w:ascii="Calibri" w:hAnsi="Calibri"/>
          <w:bCs/>
          <w:iCs/>
          <w:sz w:val="20"/>
          <w:szCs w:val="20"/>
        </w:rPr>
        <w:t>uporządk</w:t>
      </w:r>
      <w:r w:rsidR="005C48F7">
        <w:rPr>
          <w:rFonts w:ascii="Calibri" w:hAnsi="Calibri"/>
          <w:bCs/>
          <w:iCs/>
          <w:sz w:val="20"/>
          <w:szCs w:val="20"/>
        </w:rPr>
        <w:t>ują</w:t>
      </w:r>
      <w:r w:rsidRPr="005C48F7">
        <w:rPr>
          <w:rFonts w:ascii="Calibri" w:hAnsi="Calibri"/>
          <w:bCs/>
          <w:iCs/>
          <w:sz w:val="20"/>
          <w:szCs w:val="20"/>
        </w:rPr>
        <w:t xml:space="preserve"> </w:t>
      </w:r>
      <w:r w:rsidR="00B86BCB">
        <w:rPr>
          <w:rFonts w:ascii="Calibri" w:hAnsi="Calibri"/>
          <w:bCs/>
          <w:iCs/>
          <w:sz w:val="20"/>
          <w:szCs w:val="20"/>
        </w:rPr>
        <w:t xml:space="preserve">swoją </w:t>
      </w:r>
      <w:r w:rsidR="00B86BCB" w:rsidRPr="00B86BCB">
        <w:rPr>
          <w:rFonts w:ascii="Calibri" w:hAnsi="Calibri"/>
          <w:bCs/>
          <w:sz w:val="20"/>
          <w:szCs w:val="20"/>
        </w:rPr>
        <w:t>wiedz</w:t>
      </w:r>
      <w:r w:rsidR="00B86BCB">
        <w:rPr>
          <w:rFonts w:ascii="Calibri" w:hAnsi="Calibri"/>
          <w:bCs/>
          <w:sz w:val="20"/>
          <w:szCs w:val="20"/>
        </w:rPr>
        <w:t>ę</w:t>
      </w:r>
      <w:r w:rsidR="00B86BCB" w:rsidRPr="00B86BCB">
        <w:rPr>
          <w:rFonts w:ascii="Calibri" w:hAnsi="Calibri"/>
          <w:bCs/>
          <w:sz w:val="20"/>
          <w:szCs w:val="20"/>
        </w:rPr>
        <w:t xml:space="preserve"> na </w:t>
      </w:r>
      <w:r w:rsidR="00B86BCB">
        <w:rPr>
          <w:rFonts w:ascii="Calibri" w:hAnsi="Calibri"/>
          <w:bCs/>
          <w:sz w:val="20"/>
          <w:szCs w:val="20"/>
        </w:rPr>
        <w:t xml:space="preserve">temat </w:t>
      </w:r>
      <w:r w:rsidR="00B86BCB" w:rsidRPr="00B86BCB">
        <w:rPr>
          <w:rFonts w:ascii="Calibri" w:hAnsi="Calibri"/>
          <w:bCs/>
          <w:sz w:val="20"/>
          <w:szCs w:val="20"/>
        </w:rPr>
        <w:t>uwarunkowań prawno-zwyczajowych i organizacji procesu rozliczania transakcji akredytywą dokumentową i przygotow</w:t>
      </w:r>
      <w:r w:rsidR="00B86BCB">
        <w:rPr>
          <w:rFonts w:ascii="Calibri" w:hAnsi="Calibri"/>
          <w:bCs/>
          <w:sz w:val="20"/>
          <w:szCs w:val="20"/>
        </w:rPr>
        <w:t>ywania</w:t>
      </w:r>
      <w:r w:rsidR="00B86BCB" w:rsidRPr="00B86BCB">
        <w:rPr>
          <w:rFonts w:ascii="Calibri" w:hAnsi="Calibri"/>
          <w:bCs/>
          <w:sz w:val="20"/>
          <w:szCs w:val="20"/>
        </w:rPr>
        <w:t xml:space="preserve"> dokumentów handlowych,</w:t>
      </w:r>
    </w:p>
    <w:p w14:paraId="4E327435"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wiedz</w:t>
      </w:r>
      <w:r>
        <w:rPr>
          <w:rFonts w:ascii="Calibri" w:hAnsi="Calibri"/>
          <w:bCs/>
          <w:sz w:val="20"/>
          <w:szCs w:val="20"/>
        </w:rPr>
        <w:t>ę</w:t>
      </w:r>
      <w:r w:rsidRPr="00B86BCB">
        <w:rPr>
          <w:rFonts w:ascii="Calibri" w:hAnsi="Calibri"/>
          <w:bCs/>
          <w:sz w:val="20"/>
          <w:szCs w:val="20"/>
        </w:rPr>
        <w:t xml:space="preserve"> na temat skutecznego negocjowania przyjęcia dokumentów przez bank w ramach akredytywy,</w:t>
      </w:r>
    </w:p>
    <w:p w14:paraId="441ED153"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wiedz</w:t>
      </w:r>
      <w:r>
        <w:rPr>
          <w:rFonts w:ascii="Calibri" w:hAnsi="Calibri"/>
          <w:bCs/>
          <w:sz w:val="20"/>
          <w:szCs w:val="20"/>
        </w:rPr>
        <w:t>ę</w:t>
      </w:r>
      <w:r w:rsidRPr="00B86BCB">
        <w:rPr>
          <w:rFonts w:ascii="Calibri" w:hAnsi="Calibri"/>
          <w:bCs/>
          <w:sz w:val="20"/>
          <w:szCs w:val="20"/>
        </w:rPr>
        <w:t xml:space="preserve"> odnośnie zasad prowadzenia rozmów z bankami na temat akredytywy, w szczególności w sytuacji różnych problemów.</w:t>
      </w:r>
    </w:p>
    <w:p w14:paraId="25D93E26"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praktyczn</w:t>
      </w:r>
      <w:r>
        <w:rPr>
          <w:rFonts w:ascii="Calibri" w:hAnsi="Calibri"/>
          <w:bCs/>
          <w:sz w:val="20"/>
          <w:szCs w:val="20"/>
        </w:rPr>
        <w:t>e</w:t>
      </w:r>
      <w:r w:rsidRPr="00B86BCB">
        <w:rPr>
          <w:rFonts w:ascii="Calibri" w:hAnsi="Calibri"/>
          <w:bCs/>
          <w:sz w:val="20"/>
          <w:szCs w:val="20"/>
        </w:rPr>
        <w:t xml:space="preserve"> umiejętności posługiwania się akredytywą dokumentową,</w:t>
      </w:r>
    </w:p>
    <w:p w14:paraId="75F14A1F"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nab</w:t>
      </w:r>
      <w:r>
        <w:rPr>
          <w:rFonts w:ascii="Calibri" w:hAnsi="Calibri"/>
          <w:bCs/>
          <w:sz w:val="20"/>
          <w:szCs w:val="20"/>
        </w:rPr>
        <w:t>ędą</w:t>
      </w:r>
      <w:r w:rsidRPr="00B86BCB">
        <w:rPr>
          <w:rFonts w:ascii="Calibri" w:hAnsi="Calibri"/>
          <w:bCs/>
          <w:sz w:val="20"/>
          <w:szCs w:val="20"/>
        </w:rPr>
        <w:t xml:space="preserve"> umiejętności radzenia sobie z różnymi problemami przy składaniu dokumentów w banku,</w:t>
      </w:r>
    </w:p>
    <w:p w14:paraId="415AAC88"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praktyczn</w:t>
      </w:r>
      <w:r>
        <w:rPr>
          <w:rFonts w:ascii="Calibri" w:hAnsi="Calibri"/>
          <w:bCs/>
          <w:sz w:val="20"/>
          <w:szCs w:val="20"/>
        </w:rPr>
        <w:t>e</w:t>
      </w:r>
      <w:r w:rsidRPr="00B86BCB">
        <w:rPr>
          <w:rFonts w:ascii="Calibri" w:hAnsi="Calibri"/>
          <w:bCs/>
          <w:sz w:val="20"/>
          <w:szCs w:val="20"/>
        </w:rPr>
        <w:t xml:space="preserve"> umiejętności posługiwania się dokumentami w ramach akredytywy, w tym analizy form SWIFT-owych L/C.</w:t>
      </w:r>
    </w:p>
    <w:p w14:paraId="7063A78B"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nab</w:t>
      </w:r>
      <w:r>
        <w:rPr>
          <w:rFonts w:ascii="Calibri" w:hAnsi="Calibri"/>
          <w:bCs/>
          <w:sz w:val="20"/>
          <w:szCs w:val="20"/>
        </w:rPr>
        <w:t>ędą</w:t>
      </w:r>
      <w:r w:rsidRPr="00B86BCB">
        <w:rPr>
          <w:rFonts w:ascii="Calibri" w:hAnsi="Calibri"/>
          <w:bCs/>
          <w:sz w:val="20"/>
          <w:szCs w:val="20"/>
        </w:rPr>
        <w:t xml:space="preserve"> kompetencj</w:t>
      </w:r>
      <w:r>
        <w:rPr>
          <w:rFonts w:ascii="Calibri" w:hAnsi="Calibri"/>
          <w:bCs/>
          <w:sz w:val="20"/>
          <w:szCs w:val="20"/>
        </w:rPr>
        <w:t xml:space="preserve">e </w:t>
      </w:r>
      <w:r w:rsidRPr="00B86BCB">
        <w:rPr>
          <w:rFonts w:ascii="Calibri" w:hAnsi="Calibri"/>
          <w:bCs/>
          <w:sz w:val="20"/>
          <w:szCs w:val="20"/>
        </w:rPr>
        <w:t xml:space="preserve">odnośnie samokształcenia się oraz zdobywania niezbędnej wiedzy o rozliczeniach umów akredytywami, przepisach i ich aktualizacjach, </w:t>
      </w:r>
    </w:p>
    <w:p w14:paraId="2226A789" w14:textId="77777777" w:rsidR="00B86BCB" w:rsidRPr="00B86BCB" w:rsidRDefault="00B86BCB" w:rsidP="00B86BCB">
      <w:pPr>
        <w:pStyle w:val="Akapitzlist"/>
        <w:numPr>
          <w:ilvl w:val="0"/>
          <w:numId w:val="14"/>
        </w:numPr>
        <w:spacing w:after="4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kompetencj</w:t>
      </w:r>
      <w:r>
        <w:rPr>
          <w:rFonts w:ascii="Calibri" w:hAnsi="Calibri"/>
          <w:bCs/>
          <w:sz w:val="20"/>
          <w:szCs w:val="20"/>
        </w:rPr>
        <w:t>e</w:t>
      </w:r>
      <w:r w:rsidRPr="00B86BCB">
        <w:rPr>
          <w:rFonts w:ascii="Calibri" w:hAnsi="Calibri"/>
          <w:bCs/>
          <w:sz w:val="20"/>
          <w:szCs w:val="20"/>
        </w:rPr>
        <w:t xml:space="preserve"> w zakresie fachowego porozumiewania się z uczestnikami procesu akredytywy – zleceniodawcą, beneficjentem, bankiem awizującym, bankiem otwierającym i innymi bankami, </w:t>
      </w:r>
    </w:p>
    <w:p w14:paraId="5C6CA3C3" w14:textId="0E4E1357" w:rsidR="005D3EDE" w:rsidRPr="00B86BCB" w:rsidRDefault="00B86BCB" w:rsidP="00B86BCB">
      <w:pPr>
        <w:pStyle w:val="Akapitzlist"/>
        <w:numPr>
          <w:ilvl w:val="0"/>
          <w:numId w:val="14"/>
        </w:numPr>
        <w:spacing w:after="60"/>
        <w:ind w:left="714" w:hanging="357"/>
        <w:contextualSpacing w:val="0"/>
        <w:jc w:val="both"/>
        <w:rPr>
          <w:rFonts w:ascii="Calibri" w:hAnsi="Calibri"/>
          <w:b/>
          <w:bCs/>
          <w:iCs/>
          <w:color w:val="003399"/>
          <w:sz w:val="20"/>
          <w:szCs w:val="20"/>
        </w:rPr>
      </w:pPr>
      <w:r w:rsidRPr="00B86BCB">
        <w:rPr>
          <w:rFonts w:ascii="Calibri" w:hAnsi="Calibri"/>
          <w:bCs/>
          <w:sz w:val="20"/>
          <w:szCs w:val="20"/>
        </w:rPr>
        <w:t>zdob</w:t>
      </w:r>
      <w:r>
        <w:rPr>
          <w:rFonts w:ascii="Calibri" w:hAnsi="Calibri"/>
          <w:bCs/>
          <w:sz w:val="20"/>
          <w:szCs w:val="20"/>
        </w:rPr>
        <w:t>ędą</w:t>
      </w:r>
      <w:r w:rsidRPr="00B86BCB">
        <w:rPr>
          <w:rFonts w:ascii="Calibri" w:hAnsi="Calibri"/>
          <w:bCs/>
          <w:sz w:val="20"/>
          <w:szCs w:val="20"/>
        </w:rPr>
        <w:t xml:space="preserve"> kompetencj</w:t>
      </w:r>
      <w:r>
        <w:rPr>
          <w:rFonts w:ascii="Calibri" w:hAnsi="Calibri"/>
          <w:bCs/>
          <w:sz w:val="20"/>
          <w:szCs w:val="20"/>
        </w:rPr>
        <w:t>e</w:t>
      </w:r>
      <w:r w:rsidRPr="00B86BCB">
        <w:rPr>
          <w:rFonts w:ascii="Calibri" w:hAnsi="Calibri"/>
          <w:bCs/>
          <w:sz w:val="20"/>
          <w:szCs w:val="20"/>
        </w:rPr>
        <w:t xml:space="preserve"> rozstrzygania sporów wynikających z posługiwania się akredytywą dokumentową.</w:t>
      </w:r>
    </w:p>
    <w:p w14:paraId="59495B43" w14:textId="4886BB6B" w:rsidR="00C66560" w:rsidRPr="0035057E" w:rsidRDefault="00C66560" w:rsidP="0035057E">
      <w:pPr>
        <w:shd w:val="clear" w:color="auto" w:fill="003399"/>
        <w:spacing w:before="120"/>
        <w:jc w:val="center"/>
        <w:rPr>
          <w:rFonts w:ascii="Calibri" w:hAnsi="Calibri"/>
          <w:b/>
          <w:iCs/>
          <w:color w:val="FFFFFF" w:themeColor="background1"/>
          <w:sz w:val="28"/>
        </w:rPr>
      </w:pPr>
      <w:r w:rsidRPr="0035057E">
        <w:rPr>
          <w:rFonts w:ascii="Calibri" w:hAnsi="Calibri"/>
          <w:b/>
          <w:iCs/>
          <w:color w:val="FFFFFF" w:themeColor="background1"/>
          <w:sz w:val="28"/>
        </w:rPr>
        <w:lastRenderedPageBreak/>
        <w:t>PROGRAM SZKOLENIA:</w:t>
      </w:r>
    </w:p>
    <w:p w14:paraId="04CCC12D" w14:textId="77777777" w:rsidR="00064D9D" w:rsidRPr="00565288" w:rsidRDefault="00064D9D" w:rsidP="00064D9D">
      <w:pPr>
        <w:jc w:val="both"/>
        <w:rPr>
          <w:rFonts w:ascii="Calibri" w:hAnsi="Calibri"/>
          <w:b/>
          <w:iCs/>
        </w:rPr>
      </w:pPr>
    </w:p>
    <w:p w14:paraId="52A0B467" w14:textId="5CE74DF9"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UWARUNKOWANIA ZWYCZAJOWE STOSOWANE PRZY NEGOCJOWANIU PRZYJĘCIA DOKUMENTÓW PRZEZ BANK</w:t>
      </w:r>
      <w:r w:rsidR="00946816" w:rsidRPr="00565288">
        <w:rPr>
          <w:rFonts w:asciiTheme="minorHAnsi" w:hAnsiTheme="minorHAnsi" w:cstheme="minorHAnsi"/>
          <w:b/>
          <w:iCs/>
          <w:color w:val="003399"/>
          <w:sz w:val="20"/>
          <w:szCs w:val="20"/>
        </w:rPr>
        <w:t>.</w:t>
      </w:r>
      <w:r w:rsidRPr="00565288">
        <w:rPr>
          <w:rFonts w:asciiTheme="minorHAnsi" w:hAnsiTheme="minorHAnsi" w:cstheme="minorHAnsi"/>
          <w:b/>
          <w:iCs/>
          <w:color w:val="003399"/>
          <w:sz w:val="20"/>
          <w:szCs w:val="20"/>
        </w:rPr>
        <w:t xml:space="preserve"> </w:t>
      </w:r>
    </w:p>
    <w:p w14:paraId="7A35AA08" w14:textId="30A726F8"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Jednolite zwyczaje UCP 600 i ich wymagania dotyczące dokumentów oraz terminów</w:t>
      </w:r>
      <w:r w:rsidR="00946816">
        <w:rPr>
          <w:rFonts w:asciiTheme="minorHAnsi" w:hAnsiTheme="minorHAnsi" w:cstheme="minorHAnsi"/>
          <w:bCs/>
          <w:iCs/>
          <w:sz w:val="20"/>
          <w:szCs w:val="20"/>
        </w:rPr>
        <w:t>.</w:t>
      </w:r>
    </w:p>
    <w:p w14:paraId="77C8F435" w14:textId="178EC5F2"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Zastosowanie uzupełniające procedur dokumentowych ze zwyczajów UCP 500</w:t>
      </w:r>
      <w:r w:rsidR="00946816">
        <w:rPr>
          <w:rFonts w:asciiTheme="minorHAnsi" w:hAnsiTheme="minorHAnsi" w:cstheme="minorHAnsi"/>
          <w:bCs/>
          <w:iCs/>
          <w:sz w:val="20"/>
          <w:szCs w:val="20"/>
        </w:rPr>
        <w:t>.</w:t>
      </w:r>
    </w:p>
    <w:p w14:paraId="734D8678" w14:textId="5B4CA430"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Międzynarodowy Standard Dotyczący Badania Dokumentów w Akredytywie ISBP 745</w:t>
      </w:r>
      <w:r w:rsidR="00946816">
        <w:rPr>
          <w:rFonts w:asciiTheme="minorHAnsi" w:hAnsiTheme="minorHAnsi" w:cstheme="minorHAnsi"/>
          <w:bCs/>
          <w:iCs/>
          <w:sz w:val="20"/>
          <w:szCs w:val="20"/>
        </w:rPr>
        <w:t>.</w:t>
      </w:r>
    </w:p>
    <w:p w14:paraId="002C951F" w14:textId="2643A606"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Regulaminy banków dotyczące akredytywy i ich znaczenie w procesie składania dokumentów</w:t>
      </w:r>
      <w:r w:rsidR="00946816">
        <w:rPr>
          <w:rFonts w:asciiTheme="minorHAnsi" w:hAnsiTheme="minorHAnsi" w:cstheme="minorHAnsi"/>
          <w:bCs/>
          <w:iCs/>
          <w:sz w:val="20"/>
          <w:szCs w:val="20"/>
        </w:rPr>
        <w:t>.</w:t>
      </w:r>
    </w:p>
    <w:p w14:paraId="49616C8D" w14:textId="2E48023D"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Ujednolicone procedury bankowe dotyczące sprawdzania dokumentów w ramach akredytywy</w:t>
      </w:r>
      <w:r w:rsidR="00946816">
        <w:rPr>
          <w:rFonts w:asciiTheme="minorHAnsi" w:hAnsiTheme="minorHAnsi" w:cstheme="minorHAnsi"/>
          <w:bCs/>
          <w:iCs/>
          <w:sz w:val="20"/>
          <w:szCs w:val="20"/>
        </w:rPr>
        <w:t>.</w:t>
      </w:r>
    </w:p>
    <w:p w14:paraId="398E3018" w14:textId="1B8A9FE0" w:rsidR="00064D9D" w:rsidRPr="00064D9D" w:rsidRDefault="00064D9D" w:rsidP="008C19C8">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Nowe uregulowania dotyczące przesyłania dokumentów w formie elektronicznej</w:t>
      </w:r>
      <w:r w:rsidR="00946816">
        <w:rPr>
          <w:rFonts w:asciiTheme="minorHAnsi" w:hAnsiTheme="minorHAnsi" w:cstheme="minorHAnsi"/>
          <w:bCs/>
          <w:iCs/>
          <w:sz w:val="20"/>
          <w:szCs w:val="20"/>
        </w:rPr>
        <w:t>.</w:t>
      </w:r>
    </w:p>
    <w:p w14:paraId="1ED7ECE6" w14:textId="30241351" w:rsidR="00064D9D" w:rsidRPr="00064D9D" w:rsidRDefault="00064D9D" w:rsidP="008C19C8">
      <w:pPr>
        <w:numPr>
          <w:ilvl w:val="1"/>
          <w:numId w:val="2"/>
        </w:numPr>
        <w:ind w:left="357"/>
        <w:rPr>
          <w:rFonts w:asciiTheme="minorHAnsi" w:hAnsiTheme="minorHAnsi" w:cstheme="minorHAnsi"/>
          <w:bCs/>
          <w:iCs/>
          <w:sz w:val="20"/>
          <w:szCs w:val="20"/>
        </w:rPr>
      </w:pPr>
      <w:r w:rsidRPr="00064D9D">
        <w:rPr>
          <w:rFonts w:asciiTheme="minorHAnsi" w:hAnsiTheme="minorHAnsi" w:cstheme="minorHAnsi"/>
          <w:bCs/>
          <w:iCs/>
          <w:sz w:val="20"/>
          <w:szCs w:val="20"/>
        </w:rPr>
        <w:t>Banki zaangażowane w akredytywę i ich rola w podejmowaniu decyzji o przyjęciu dokumentów</w:t>
      </w:r>
      <w:r w:rsidR="00946816">
        <w:rPr>
          <w:rFonts w:asciiTheme="minorHAnsi" w:hAnsiTheme="minorHAnsi" w:cstheme="minorHAnsi"/>
          <w:bCs/>
          <w:iCs/>
          <w:sz w:val="20"/>
          <w:szCs w:val="20"/>
        </w:rPr>
        <w:t>.</w:t>
      </w:r>
    </w:p>
    <w:p w14:paraId="5CA807C6" w14:textId="7305D414"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Specyfika akredytyw realizowanych w krajach arabskich i w krajach azjatyckich</w:t>
      </w:r>
      <w:r w:rsidR="00946816">
        <w:rPr>
          <w:rFonts w:asciiTheme="minorHAnsi" w:hAnsiTheme="minorHAnsi" w:cstheme="minorHAnsi"/>
          <w:bCs/>
          <w:iCs/>
          <w:sz w:val="20"/>
          <w:szCs w:val="20"/>
        </w:rPr>
        <w:t>.</w:t>
      </w:r>
    </w:p>
    <w:p w14:paraId="50649C60" w14:textId="41A5F24F"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ANALIZA AKREDYTYW PRZESYŁANYCH W FORMIE KOMUNIKATU SWIFT MT700</w:t>
      </w:r>
      <w:r w:rsidR="00946816" w:rsidRPr="00565288">
        <w:rPr>
          <w:rFonts w:asciiTheme="minorHAnsi" w:hAnsiTheme="minorHAnsi" w:cstheme="minorHAnsi"/>
          <w:b/>
          <w:iCs/>
          <w:color w:val="003399"/>
          <w:sz w:val="20"/>
          <w:szCs w:val="20"/>
        </w:rPr>
        <w:t>.</w:t>
      </w:r>
    </w:p>
    <w:p w14:paraId="3ECFE75E" w14:textId="164DA209"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Struktura akredytywy w formie MT700 i zasady jej analizy</w:t>
      </w:r>
      <w:r w:rsidR="00946816">
        <w:rPr>
          <w:rFonts w:asciiTheme="minorHAnsi" w:hAnsiTheme="minorHAnsi" w:cstheme="minorHAnsi"/>
          <w:bCs/>
          <w:iCs/>
          <w:sz w:val="20"/>
          <w:szCs w:val="20"/>
        </w:rPr>
        <w:t>.</w:t>
      </w:r>
      <w:r w:rsidRPr="00064D9D">
        <w:rPr>
          <w:rFonts w:asciiTheme="minorHAnsi" w:hAnsiTheme="minorHAnsi" w:cstheme="minorHAnsi"/>
          <w:bCs/>
          <w:iCs/>
          <w:sz w:val="20"/>
          <w:szCs w:val="20"/>
        </w:rPr>
        <w:t xml:space="preserve"> </w:t>
      </w:r>
    </w:p>
    <w:p w14:paraId="48EBC87B" w14:textId="3B4DE4DF" w:rsidR="00064D9D" w:rsidRPr="00064D9D" w:rsidRDefault="00064D9D" w:rsidP="00AE4DDC">
      <w:pPr>
        <w:numPr>
          <w:ilvl w:val="0"/>
          <w:numId w:val="2"/>
        </w:numPr>
        <w:ind w:left="357" w:firstLine="0"/>
        <w:jc w:val="both"/>
        <w:rPr>
          <w:rFonts w:asciiTheme="minorHAnsi" w:hAnsiTheme="minorHAnsi" w:cstheme="minorHAnsi"/>
          <w:bCs/>
          <w:iCs/>
          <w:sz w:val="20"/>
          <w:szCs w:val="20"/>
        </w:rPr>
      </w:pPr>
      <w:r w:rsidRPr="00064D9D">
        <w:rPr>
          <w:rFonts w:asciiTheme="minorHAnsi" w:hAnsiTheme="minorHAnsi" w:cstheme="minorHAnsi"/>
          <w:bCs/>
          <w:iCs/>
          <w:sz w:val="20"/>
          <w:szCs w:val="20"/>
        </w:rPr>
        <w:t>Znaczenie pól komunikatu MT700 i kodów SWIFT MT701, 705, 707, 732, 734, 750</w:t>
      </w:r>
      <w:r w:rsidR="00946816">
        <w:rPr>
          <w:rFonts w:asciiTheme="minorHAnsi" w:hAnsiTheme="minorHAnsi" w:cstheme="minorHAnsi"/>
          <w:bCs/>
          <w:iCs/>
          <w:sz w:val="20"/>
          <w:szCs w:val="20"/>
        </w:rPr>
        <w:t>.</w:t>
      </w:r>
    </w:p>
    <w:p w14:paraId="1876ED87" w14:textId="3652224B"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Analiza terminów w akredytywie i metoda ustalania terminu na złożenie dokumentów w banku</w:t>
      </w:r>
      <w:r w:rsidR="00946816">
        <w:rPr>
          <w:rFonts w:asciiTheme="minorHAnsi" w:hAnsiTheme="minorHAnsi" w:cstheme="minorHAnsi"/>
          <w:bCs/>
          <w:iCs/>
          <w:sz w:val="20"/>
          <w:szCs w:val="20"/>
        </w:rPr>
        <w:t>.</w:t>
      </w:r>
    </w:p>
    <w:p w14:paraId="25831B87" w14:textId="07FA6493"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Zwyczajowe terminy na prezentacje dokumentów wg. UCP 600 i możliwości ich zmiany w MT700</w:t>
      </w:r>
      <w:r w:rsidR="00946816">
        <w:rPr>
          <w:rFonts w:asciiTheme="minorHAnsi" w:hAnsiTheme="minorHAnsi" w:cstheme="minorHAnsi"/>
          <w:bCs/>
          <w:iCs/>
          <w:sz w:val="20"/>
          <w:szCs w:val="20"/>
        </w:rPr>
        <w:t>.</w:t>
      </w:r>
    </w:p>
    <w:p w14:paraId="31C3C876" w14:textId="2BF12043"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Ustalanie banku decydującego o przyjęciu dokumentów (tzw. issuing bank czy nominated bank)</w:t>
      </w:r>
      <w:r w:rsidR="00946816">
        <w:rPr>
          <w:rFonts w:asciiTheme="minorHAnsi" w:hAnsiTheme="minorHAnsi" w:cstheme="minorHAnsi"/>
          <w:bCs/>
          <w:iCs/>
          <w:sz w:val="20"/>
          <w:szCs w:val="20"/>
        </w:rPr>
        <w:t>.</w:t>
      </w:r>
    </w:p>
    <w:p w14:paraId="3EEE161B" w14:textId="5C6F8168"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Obowiązki banku posiadającego pełnomocnictwo do negocjowania dokumentów (tzw. negotiating bank)</w:t>
      </w:r>
      <w:r w:rsidR="00946816">
        <w:rPr>
          <w:rFonts w:asciiTheme="minorHAnsi" w:hAnsiTheme="minorHAnsi" w:cstheme="minorHAnsi"/>
          <w:bCs/>
          <w:iCs/>
          <w:sz w:val="20"/>
          <w:szCs w:val="20"/>
        </w:rPr>
        <w:t>.</w:t>
      </w:r>
    </w:p>
    <w:p w14:paraId="4ED2EF56" w14:textId="6D0E9999" w:rsidR="00064D9D" w:rsidRPr="00064D9D" w:rsidRDefault="00064D9D" w:rsidP="00AE4DDC">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Analiza akredytywy pod kątem dokumentów, które musi przygotować eksporter</w:t>
      </w:r>
      <w:r w:rsidR="00946816">
        <w:rPr>
          <w:rFonts w:asciiTheme="minorHAnsi" w:hAnsiTheme="minorHAnsi" w:cstheme="minorHAnsi"/>
          <w:bCs/>
          <w:iCs/>
          <w:sz w:val="20"/>
          <w:szCs w:val="20"/>
        </w:rPr>
        <w:t>.</w:t>
      </w:r>
    </w:p>
    <w:p w14:paraId="0D3494CE" w14:textId="6427700D"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Dokumenty wystawiane przez eksportera i dokumenty wystawiane przez strony trzecie</w:t>
      </w:r>
      <w:r w:rsidR="00946816">
        <w:rPr>
          <w:rFonts w:asciiTheme="minorHAnsi" w:hAnsiTheme="minorHAnsi" w:cstheme="minorHAnsi"/>
          <w:bCs/>
          <w:iCs/>
          <w:sz w:val="20"/>
          <w:szCs w:val="20"/>
        </w:rPr>
        <w:t>.</w:t>
      </w:r>
    </w:p>
    <w:p w14:paraId="0E783D7A" w14:textId="58028B19"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INTERPRERACJA ROZBIEŻNOŚCI W DOKUMENTACH WYSYŁKOWYCH WG. ISBP 745</w:t>
      </w:r>
      <w:r w:rsidR="00946816" w:rsidRPr="00565288">
        <w:rPr>
          <w:rFonts w:asciiTheme="minorHAnsi" w:hAnsiTheme="minorHAnsi" w:cstheme="minorHAnsi"/>
          <w:b/>
          <w:iCs/>
          <w:color w:val="003399"/>
          <w:sz w:val="20"/>
          <w:szCs w:val="20"/>
        </w:rPr>
        <w:t>.</w:t>
      </w:r>
    </w:p>
    <w:p w14:paraId="35DB30C9" w14:textId="749F18E4"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Interpretacja pojęcia oryginału i kopii dokumentu, kompletu, w tym kserokopii dokumentu</w:t>
      </w:r>
      <w:r w:rsidR="00946816">
        <w:rPr>
          <w:rFonts w:asciiTheme="minorHAnsi" w:hAnsiTheme="minorHAnsi" w:cstheme="minorHAnsi"/>
          <w:bCs/>
          <w:iCs/>
          <w:sz w:val="20"/>
          <w:szCs w:val="20"/>
        </w:rPr>
        <w:t>.</w:t>
      </w:r>
    </w:p>
    <w:p w14:paraId="34EB6317" w14:textId="168AE8BA"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Problem rozbieżności pomiędzy danymi w różnych dokumentach (co jest, a co nie jest rozbieżnością)</w:t>
      </w:r>
      <w:r w:rsidR="00946816">
        <w:rPr>
          <w:rFonts w:asciiTheme="minorHAnsi" w:hAnsiTheme="minorHAnsi" w:cstheme="minorHAnsi"/>
          <w:bCs/>
          <w:iCs/>
          <w:sz w:val="20"/>
          <w:szCs w:val="20"/>
        </w:rPr>
        <w:t>.</w:t>
      </w:r>
    </w:p>
    <w:p w14:paraId="45453B8D" w14:textId="6A0EF1D2"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sprawdzania wystawcy dokumentu i prawidłowe sposoby podpisywania dokumentów</w:t>
      </w:r>
      <w:r w:rsidR="00946816">
        <w:rPr>
          <w:rFonts w:asciiTheme="minorHAnsi" w:hAnsiTheme="minorHAnsi" w:cstheme="minorHAnsi"/>
          <w:bCs/>
          <w:iCs/>
          <w:sz w:val="20"/>
          <w:szCs w:val="20"/>
        </w:rPr>
        <w:t>.</w:t>
      </w:r>
    </w:p>
    <w:p w14:paraId="0C0A7408" w14:textId="5A6005B7"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Problem języka dokumentów i możliwości składania dokumentów w dowolnym języku</w:t>
      </w:r>
      <w:r w:rsidR="00946816">
        <w:rPr>
          <w:rFonts w:asciiTheme="minorHAnsi" w:hAnsiTheme="minorHAnsi" w:cstheme="minorHAnsi"/>
          <w:bCs/>
          <w:iCs/>
          <w:sz w:val="20"/>
          <w:szCs w:val="20"/>
        </w:rPr>
        <w:t>.</w:t>
      </w:r>
    </w:p>
    <w:p w14:paraId="0812084A" w14:textId="30C8240F"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Interpretacja błędów ortograficznych oraz brakujących lub przestawionych liter</w:t>
      </w:r>
      <w:r w:rsidR="00946816">
        <w:rPr>
          <w:rFonts w:asciiTheme="minorHAnsi" w:hAnsiTheme="minorHAnsi" w:cstheme="minorHAnsi"/>
          <w:bCs/>
          <w:iCs/>
          <w:sz w:val="20"/>
          <w:szCs w:val="20"/>
        </w:rPr>
        <w:t>.</w:t>
      </w:r>
    </w:p>
    <w:p w14:paraId="36D4A6E5" w14:textId="091C207B"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Problemy wynikające z różnych nazw dokumentów, w tym nazw obcojęzycznych</w:t>
      </w:r>
      <w:r w:rsidR="00946816">
        <w:rPr>
          <w:rFonts w:asciiTheme="minorHAnsi" w:hAnsiTheme="minorHAnsi" w:cstheme="minorHAnsi"/>
          <w:bCs/>
          <w:iCs/>
          <w:sz w:val="20"/>
          <w:szCs w:val="20"/>
        </w:rPr>
        <w:t>.</w:t>
      </w:r>
    </w:p>
    <w:p w14:paraId="171378E2" w14:textId="1716B7AC"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Analiza różnych ogólnych niezgodności dokumentów z warunkami akredytywy</w:t>
      </w:r>
      <w:r w:rsidR="00946816">
        <w:rPr>
          <w:rFonts w:asciiTheme="minorHAnsi" w:hAnsiTheme="minorHAnsi" w:cstheme="minorHAnsi"/>
          <w:bCs/>
          <w:iCs/>
          <w:sz w:val="20"/>
          <w:szCs w:val="20"/>
        </w:rPr>
        <w:t>.</w:t>
      </w:r>
    </w:p>
    <w:p w14:paraId="6CE4A85F" w14:textId="5D9102AC"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PRZYGOTOWANIE TRATY, SKŁADANEJ W RAMACH AKREDYTYWY I INTERPRETACJA CO MOŻE W NIEJ STANOWIĆ ROZBIEŻNOŚĆ A CO NIĄ NIE JEST (WG. UCP 600, ISBP 745 ORAZ PRAKTYKI BANKOWEJ)</w:t>
      </w:r>
      <w:r w:rsidR="00946816" w:rsidRPr="00565288">
        <w:rPr>
          <w:rFonts w:asciiTheme="minorHAnsi" w:hAnsiTheme="minorHAnsi" w:cstheme="minorHAnsi"/>
          <w:b/>
          <w:iCs/>
          <w:color w:val="003399"/>
          <w:sz w:val="20"/>
          <w:szCs w:val="20"/>
        </w:rPr>
        <w:t>.</w:t>
      </w:r>
    </w:p>
    <w:p w14:paraId="1B1C385A" w14:textId="1F205B60"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posługiwania się tratą jako wekslem oraz wymagania odnośnie traty, dyskonto traty</w:t>
      </w:r>
      <w:r w:rsidR="00946816">
        <w:rPr>
          <w:rFonts w:asciiTheme="minorHAnsi" w:hAnsiTheme="minorHAnsi" w:cstheme="minorHAnsi"/>
          <w:bCs/>
          <w:iCs/>
          <w:sz w:val="20"/>
          <w:szCs w:val="20"/>
        </w:rPr>
        <w:t>.</w:t>
      </w:r>
    </w:p>
    <w:p w14:paraId="24AAA7A5" w14:textId="375E3204"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Traty ciągnione na bank eksportera, bank otwierający i na importera</w:t>
      </w:r>
      <w:r w:rsidR="00946816">
        <w:rPr>
          <w:rFonts w:asciiTheme="minorHAnsi" w:hAnsiTheme="minorHAnsi" w:cstheme="minorHAnsi"/>
          <w:bCs/>
          <w:iCs/>
          <w:sz w:val="20"/>
          <w:szCs w:val="20"/>
        </w:rPr>
        <w:t>.</w:t>
      </w:r>
    </w:p>
    <w:p w14:paraId="41EE1B57" w14:textId="33B18983"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Wymagania dotyczące indosowania traty i właściwe w tym zakresie zapisy na tracie</w:t>
      </w:r>
      <w:r w:rsidR="00946816">
        <w:rPr>
          <w:rFonts w:asciiTheme="minorHAnsi" w:hAnsiTheme="minorHAnsi" w:cstheme="minorHAnsi"/>
          <w:bCs/>
          <w:iCs/>
          <w:sz w:val="20"/>
          <w:szCs w:val="20"/>
        </w:rPr>
        <w:t>.</w:t>
      </w:r>
    </w:p>
    <w:p w14:paraId="669BAD7F" w14:textId="3CF53A0F"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prawidłowego wystawiania traty i jej podpisywania, data płatności a data ważności traty</w:t>
      </w:r>
      <w:r w:rsidR="00946816">
        <w:rPr>
          <w:rFonts w:asciiTheme="minorHAnsi" w:hAnsiTheme="minorHAnsi" w:cstheme="minorHAnsi"/>
          <w:bCs/>
          <w:iCs/>
          <w:sz w:val="20"/>
          <w:szCs w:val="20"/>
        </w:rPr>
        <w:t>.</w:t>
      </w:r>
    </w:p>
    <w:p w14:paraId="7D5BD99E" w14:textId="26C138A1"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Prawidłowe określanie różnych sposobów płatności traty a zapisy w tym zakresie w akredytywie</w:t>
      </w:r>
      <w:r w:rsidR="00946816">
        <w:rPr>
          <w:rFonts w:asciiTheme="minorHAnsi" w:hAnsiTheme="minorHAnsi" w:cstheme="minorHAnsi"/>
          <w:bCs/>
          <w:iCs/>
          <w:sz w:val="20"/>
          <w:szCs w:val="20"/>
        </w:rPr>
        <w:t>.</w:t>
      </w:r>
    </w:p>
    <w:p w14:paraId="0CEA1A86" w14:textId="5DA63088"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PRZYGOTOWANIE FAKTURY HANDLOWEJ, SKŁADANEJ W RAMACH AKREDYTYWY I INTERPRETACJA CO MOŻE W NIEJ STANOWIĆ ROZBIEŻNOŚĆ A CO NIĄ NIE JEST (WG. UCP 600, ISBP 745 ORAZ PRAKTYKI BANKOWEJ)</w:t>
      </w:r>
      <w:r w:rsidR="00946816" w:rsidRPr="00565288">
        <w:rPr>
          <w:rFonts w:asciiTheme="minorHAnsi" w:hAnsiTheme="minorHAnsi" w:cstheme="minorHAnsi"/>
          <w:b/>
          <w:iCs/>
          <w:color w:val="003399"/>
          <w:sz w:val="20"/>
          <w:szCs w:val="20"/>
        </w:rPr>
        <w:t>.</w:t>
      </w:r>
    </w:p>
    <w:p w14:paraId="0C08354A" w14:textId="4BA0CC83"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Wymagania odnośnie tytułu, wystawcy, podpisu, bazy dostawy i inne odnośnie faktury</w:t>
      </w:r>
      <w:r w:rsidR="00946816">
        <w:rPr>
          <w:rFonts w:asciiTheme="minorHAnsi" w:hAnsiTheme="minorHAnsi" w:cstheme="minorHAnsi"/>
          <w:bCs/>
          <w:iCs/>
          <w:sz w:val="20"/>
          <w:szCs w:val="20"/>
        </w:rPr>
        <w:t>.</w:t>
      </w:r>
    </w:p>
    <w:p w14:paraId="31F10A9C" w14:textId="72D2A823"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Bezwzględne zasady dokonywania opisu towaru / usługi na fakturze handlowej</w:t>
      </w:r>
      <w:r w:rsidR="00946816">
        <w:rPr>
          <w:rFonts w:asciiTheme="minorHAnsi" w:hAnsiTheme="minorHAnsi" w:cstheme="minorHAnsi"/>
          <w:bCs/>
          <w:iCs/>
          <w:sz w:val="20"/>
          <w:szCs w:val="20"/>
        </w:rPr>
        <w:t>.</w:t>
      </w:r>
    </w:p>
    <w:p w14:paraId="0730DB64" w14:textId="16892BCC"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Bezwzględne zasady dotyczące kwoty, waluty, upustów, cen jednostkowych, frachtu, ubezpieczenia</w:t>
      </w:r>
      <w:r w:rsidR="00946816">
        <w:rPr>
          <w:rFonts w:asciiTheme="minorHAnsi" w:hAnsiTheme="minorHAnsi" w:cstheme="minorHAnsi"/>
          <w:bCs/>
          <w:iCs/>
          <w:sz w:val="20"/>
          <w:szCs w:val="20"/>
        </w:rPr>
        <w:t>.</w:t>
      </w:r>
    </w:p>
    <w:p w14:paraId="785D4133" w14:textId="2761E5F0"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określania bazy dostawy oraz jej wykładni i roku edycji na fakturze</w:t>
      </w:r>
      <w:r w:rsidR="00946816">
        <w:rPr>
          <w:rFonts w:asciiTheme="minorHAnsi" w:hAnsiTheme="minorHAnsi" w:cstheme="minorHAnsi"/>
          <w:bCs/>
          <w:iCs/>
          <w:sz w:val="20"/>
          <w:szCs w:val="20"/>
        </w:rPr>
        <w:t>.</w:t>
      </w:r>
    </w:p>
    <w:p w14:paraId="2C9B325F" w14:textId="71BEDDD5"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Problem skrótów, poprawek, liczby oryginałów, kopii kserograficznych</w:t>
      </w:r>
      <w:r w:rsidR="00946816">
        <w:rPr>
          <w:rFonts w:asciiTheme="minorHAnsi" w:hAnsiTheme="minorHAnsi" w:cstheme="minorHAnsi"/>
          <w:bCs/>
          <w:iCs/>
          <w:sz w:val="20"/>
          <w:szCs w:val="20"/>
        </w:rPr>
        <w:t>.</w:t>
      </w:r>
    </w:p>
    <w:p w14:paraId="58E82F44" w14:textId="425136AE"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Najczęściej popełniane błędy i ocena, które z nich mogą być przyczyną odrzucenia dokumentu</w:t>
      </w:r>
      <w:r w:rsidR="00946816">
        <w:rPr>
          <w:rFonts w:asciiTheme="minorHAnsi" w:hAnsiTheme="minorHAnsi" w:cstheme="minorHAnsi"/>
          <w:bCs/>
          <w:iCs/>
          <w:sz w:val="20"/>
          <w:szCs w:val="20"/>
        </w:rPr>
        <w:t>.</w:t>
      </w:r>
    </w:p>
    <w:p w14:paraId="2A213678" w14:textId="40AB8641"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PRZYGOTOWANIE KONOSAMENTU (B/L), SKŁADANEGO W RAMACH AKREDYTYWY I INTERPRETACJA CO MOŻE W NIM STANOWIĆ ROZBIEŻNOŚĆ A CO NIĄ NIE JEST (WG. UCP 600, ISBP 745 ORAZ PRAKTYKI BANKOWEJ)</w:t>
      </w:r>
      <w:r w:rsidR="00946816" w:rsidRPr="00565288">
        <w:rPr>
          <w:rFonts w:asciiTheme="minorHAnsi" w:hAnsiTheme="minorHAnsi" w:cstheme="minorHAnsi"/>
          <w:b/>
          <w:iCs/>
          <w:color w:val="003399"/>
          <w:sz w:val="20"/>
          <w:szCs w:val="20"/>
        </w:rPr>
        <w:t>.</w:t>
      </w:r>
    </w:p>
    <w:p w14:paraId="57335F20" w14:textId="0F4A4BAD"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Akceptowane i nieakceptowane nazwy konosamentu (marine B/L, ocean B/L  , port-to-port B/L…)</w:t>
      </w:r>
      <w:r w:rsidR="00946816">
        <w:rPr>
          <w:rFonts w:asciiTheme="minorHAnsi" w:hAnsiTheme="minorHAnsi" w:cstheme="minorHAnsi"/>
          <w:bCs/>
          <w:iCs/>
          <w:sz w:val="20"/>
          <w:szCs w:val="20"/>
        </w:rPr>
        <w:t>.</w:t>
      </w:r>
    </w:p>
    <w:p w14:paraId="68D53E0B" w14:textId="3045DA14"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Wymagane podpisy na konosamencie (agent, kapitan, przedstawiciel przewoźnika…)</w:t>
      </w:r>
      <w:r w:rsidR="00946816">
        <w:rPr>
          <w:rFonts w:asciiTheme="minorHAnsi" w:hAnsiTheme="minorHAnsi" w:cstheme="minorHAnsi"/>
          <w:bCs/>
          <w:iCs/>
          <w:sz w:val="20"/>
          <w:szCs w:val="20"/>
        </w:rPr>
        <w:t>.</w:t>
      </w:r>
    </w:p>
    <w:p w14:paraId="57BA09A8" w14:textId="693D37B1" w:rsidR="00064D9D" w:rsidRPr="00464422" w:rsidRDefault="00064D9D" w:rsidP="006C6E71">
      <w:pPr>
        <w:numPr>
          <w:ilvl w:val="1"/>
          <w:numId w:val="2"/>
        </w:numPr>
        <w:ind w:left="357"/>
        <w:jc w:val="both"/>
        <w:rPr>
          <w:rFonts w:asciiTheme="minorHAnsi" w:hAnsiTheme="minorHAnsi" w:cstheme="minorHAnsi"/>
          <w:bCs/>
          <w:iCs/>
          <w:sz w:val="20"/>
          <w:szCs w:val="20"/>
          <w:lang w:val="en-US"/>
        </w:rPr>
      </w:pPr>
      <w:r w:rsidRPr="00464422">
        <w:rPr>
          <w:rFonts w:asciiTheme="minorHAnsi" w:hAnsiTheme="minorHAnsi" w:cstheme="minorHAnsi"/>
          <w:bCs/>
          <w:iCs/>
          <w:sz w:val="20"/>
          <w:szCs w:val="20"/>
          <w:lang w:val="en-US"/>
        </w:rPr>
        <w:t>Wymagania odnośnie terminów „shipped on board”, „clean”, „</w:t>
      </w:r>
      <w:r w:rsidRPr="00464422">
        <w:rPr>
          <w:rFonts w:asciiTheme="minorHAnsi" w:hAnsiTheme="minorHAnsi" w:cstheme="minorHAnsi"/>
          <w:bCs/>
          <w:sz w:val="20"/>
          <w:szCs w:val="20"/>
          <w:lang w:val="en-US"/>
        </w:rPr>
        <w:t>date of shipmen”t</w:t>
      </w:r>
      <w:r w:rsidR="00946816" w:rsidRPr="00464422">
        <w:rPr>
          <w:rFonts w:asciiTheme="minorHAnsi" w:hAnsiTheme="minorHAnsi" w:cstheme="minorHAnsi"/>
          <w:bCs/>
          <w:sz w:val="20"/>
          <w:szCs w:val="20"/>
          <w:lang w:val="en-US"/>
        </w:rPr>
        <w:t>.</w:t>
      </w:r>
      <w:r w:rsidRPr="00464422">
        <w:rPr>
          <w:rFonts w:asciiTheme="minorHAnsi" w:hAnsiTheme="minorHAnsi" w:cstheme="minorHAnsi"/>
          <w:bCs/>
          <w:sz w:val="20"/>
          <w:szCs w:val="20"/>
          <w:lang w:val="en-US"/>
        </w:rPr>
        <w:t xml:space="preserve"> </w:t>
      </w:r>
    </w:p>
    <w:p w14:paraId="17114DD2" w14:textId="6C8E8207" w:rsidR="00064D9D" w:rsidRPr="00464422" w:rsidRDefault="00064D9D" w:rsidP="006C6E71">
      <w:pPr>
        <w:numPr>
          <w:ilvl w:val="1"/>
          <w:numId w:val="2"/>
        </w:numPr>
        <w:ind w:left="357"/>
        <w:jc w:val="both"/>
        <w:rPr>
          <w:rFonts w:asciiTheme="minorHAnsi" w:hAnsiTheme="minorHAnsi" w:cstheme="minorHAnsi"/>
          <w:bCs/>
          <w:iCs/>
          <w:sz w:val="20"/>
          <w:szCs w:val="20"/>
          <w:lang w:val="en-US"/>
        </w:rPr>
      </w:pPr>
      <w:r w:rsidRPr="00464422">
        <w:rPr>
          <w:rFonts w:asciiTheme="minorHAnsi" w:hAnsiTheme="minorHAnsi" w:cstheme="minorHAnsi"/>
          <w:bCs/>
          <w:sz w:val="20"/>
          <w:szCs w:val="20"/>
          <w:lang w:val="en-US"/>
        </w:rPr>
        <w:t>Interpretacja terminów „pre-carriage”, „place of recept”,  „port of loading” i innych na konosamencie</w:t>
      </w:r>
      <w:r w:rsidR="00946816" w:rsidRPr="00464422">
        <w:rPr>
          <w:rFonts w:asciiTheme="minorHAnsi" w:hAnsiTheme="minorHAnsi" w:cstheme="minorHAnsi"/>
          <w:bCs/>
          <w:sz w:val="20"/>
          <w:szCs w:val="20"/>
          <w:lang w:val="en-US"/>
        </w:rPr>
        <w:t>.</w:t>
      </w:r>
    </w:p>
    <w:p w14:paraId="0DE33853" w14:textId="321F39A2"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Konieczna liczba oryginałów konosamentu (tzw. „full set”) i zasady wskazywania liczby „3/3”, „full set”</w:t>
      </w:r>
      <w:r w:rsidR="00946816">
        <w:rPr>
          <w:rFonts w:asciiTheme="minorHAnsi" w:hAnsiTheme="minorHAnsi" w:cstheme="minorHAnsi"/>
          <w:bCs/>
          <w:iCs/>
          <w:sz w:val="20"/>
          <w:szCs w:val="20"/>
        </w:rPr>
        <w:t>.</w:t>
      </w:r>
    </w:p>
    <w:p w14:paraId="60F4831F" w14:textId="72F2D5B0"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Sytuacje uprawniające do składania jedynie części kompletu konosamentu „2/3”</w:t>
      </w:r>
      <w:r w:rsidR="00946816">
        <w:rPr>
          <w:rFonts w:asciiTheme="minorHAnsi" w:hAnsiTheme="minorHAnsi" w:cstheme="minorHAnsi"/>
          <w:bCs/>
          <w:iCs/>
          <w:sz w:val="20"/>
          <w:szCs w:val="20"/>
        </w:rPr>
        <w:t>.</w:t>
      </w:r>
    </w:p>
    <w:p w14:paraId="1F57143B" w14:textId="2FBBCEFC"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Konosament na zlecenie („to order of”) - załadowcy czy banku otwierającego</w:t>
      </w:r>
      <w:r w:rsidR="00946816">
        <w:rPr>
          <w:rFonts w:asciiTheme="minorHAnsi" w:hAnsiTheme="minorHAnsi" w:cstheme="minorHAnsi"/>
          <w:bCs/>
          <w:iCs/>
          <w:sz w:val="20"/>
          <w:szCs w:val="20"/>
        </w:rPr>
        <w:t>.</w:t>
      </w:r>
    </w:p>
    <w:p w14:paraId="6AAFD859" w14:textId="53006646"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Problem przeładunków i dostaw częściowych, brzmienie adnotacji „notify”, opisu towaru i opakowania</w:t>
      </w:r>
      <w:r w:rsidR="00946816">
        <w:rPr>
          <w:rFonts w:asciiTheme="minorHAnsi" w:hAnsiTheme="minorHAnsi" w:cstheme="minorHAnsi"/>
          <w:bCs/>
          <w:iCs/>
          <w:sz w:val="20"/>
          <w:szCs w:val="20"/>
        </w:rPr>
        <w:t>.</w:t>
      </w:r>
    </w:p>
    <w:p w14:paraId="770BC205" w14:textId="51606545"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Wykorzystanie dokumentu transportu multimodalnego czy kombinowanego</w:t>
      </w:r>
      <w:r w:rsidR="00946816">
        <w:rPr>
          <w:rFonts w:asciiTheme="minorHAnsi" w:hAnsiTheme="minorHAnsi" w:cstheme="minorHAnsi"/>
          <w:bCs/>
          <w:iCs/>
          <w:sz w:val="20"/>
          <w:szCs w:val="20"/>
        </w:rPr>
        <w:t>.</w:t>
      </w:r>
    </w:p>
    <w:p w14:paraId="191F250B" w14:textId="77777777" w:rsidR="00064D9D" w:rsidRPr="00064D9D" w:rsidRDefault="00064D9D" w:rsidP="00064D9D">
      <w:pPr>
        <w:jc w:val="both"/>
        <w:rPr>
          <w:rFonts w:asciiTheme="minorHAnsi" w:hAnsiTheme="minorHAnsi" w:cstheme="minorHAnsi"/>
          <w:bCs/>
          <w:iCs/>
          <w:sz w:val="20"/>
          <w:szCs w:val="20"/>
        </w:rPr>
      </w:pPr>
    </w:p>
    <w:p w14:paraId="5ADCC7C6" w14:textId="13CAE0C6"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 xml:space="preserve">PRZYGOTOWANIE INNYCH DOKUMENTÓW (W TYM UBEZPIECZENIOWYCH), SKŁADANYCH W RAMACH AKREDYTYWY </w:t>
      </w:r>
      <w:r w:rsidR="00565288" w:rsidRPr="00565288">
        <w:rPr>
          <w:rFonts w:asciiTheme="minorHAnsi" w:hAnsiTheme="minorHAnsi" w:cstheme="minorHAnsi"/>
          <w:b/>
          <w:iCs/>
          <w:color w:val="003399"/>
          <w:sz w:val="20"/>
          <w:szCs w:val="20"/>
        </w:rPr>
        <w:t xml:space="preserve">                              </w:t>
      </w:r>
      <w:r w:rsidRPr="00565288">
        <w:rPr>
          <w:rFonts w:asciiTheme="minorHAnsi" w:hAnsiTheme="minorHAnsi" w:cstheme="minorHAnsi"/>
          <w:b/>
          <w:iCs/>
          <w:color w:val="003399"/>
          <w:sz w:val="20"/>
          <w:szCs w:val="20"/>
        </w:rPr>
        <w:t>I INTERPRETACJA CO MOŻE W NICH STANOWIĆ ROZBIEŻNOŚĆ A CO NIĄ NIE JEST (WG. UCP 600, ISBP 745 ORAZ PRAKTYKI BANKOWEJ)</w:t>
      </w:r>
      <w:r w:rsidR="00946816" w:rsidRPr="00565288">
        <w:rPr>
          <w:rFonts w:asciiTheme="minorHAnsi" w:hAnsiTheme="minorHAnsi" w:cstheme="minorHAnsi"/>
          <w:b/>
          <w:iCs/>
          <w:color w:val="003399"/>
          <w:sz w:val="20"/>
          <w:szCs w:val="20"/>
        </w:rPr>
        <w:t>.</w:t>
      </w:r>
    </w:p>
    <w:p w14:paraId="62E8DA48" w14:textId="4CC3010D"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Wymagania dotyczące Lotniczego międzynarodowego listu przewozowego</w:t>
      </w:r>
      <w:r w:rsidR="00946816">
        <w:rPr>
          <w:rFonts w:asciiTheme="minorHAnsi" w:hAnsiTheme="minorHAnsi" w:cstheme="minorHAnsi"/>
          <w:bCs/>
          <w:iCs/>
          <w:sz w:val="20"/>
          <w:szCs w:val="20"/>
        </w:rPr>
        <w:t>.</w:t>
      </w:r>
    </w:p>
    <w:p w14:paraId="1A0AF6D1" w14:textId="700C1E05"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Wymagania dotyczące Listu przewozowego CMR i CIM</w:t>
      </w:r>
      <w:r w:rsidR="00946816">
        <w:rPr>
          <w:rFonts w:asciiTheme="minorHAnsi" w:hAnsiTheme="minorHAnsi" w:cstheme="minorHAnsi"/>
          <w:bCs/>
          <w:iCs/>
          <w:sz w:val="20"/>
          <w:szCs w:val="20"/>
        </w:rPr>
        <w:t>.</w:t>
      </w:r>
      <w:r w:rsidRPr="00064D9D">
        <w:rPr>
          <w:rFonts w:asciiTheme="minorHAnsi" w:hAnsiTheme="minorHAnsi" w:cstheme="minorHAnsi"/>
          <w:bCs/>
          <w:iCs/>
          <w:sz w:val="20"/>
          <w:szCs w:val="20"/>
        </w:rPr>
        <w:t xml:space="preserve"> </w:t>
      </w:r>
    </w:p>
    <w:p w14:paraId="31AB70AA" w14:textId="1BE89EE7"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Akceptowane i nieakceptowane dokumenty ubezpieczeniowe (polisa, certyfikat, nota pokrycia)</w:t>
      </w:r>
      <w:r w:rsidR="00946816">
        <w:rPr>
          <w:rFonts w:asciiTheme="minorHAnsi" w:hAnsiTheme="minorHAnsi" w:cstheme="minorHAnsi"/>
          <w:bCs/>
          <w:iCs/>
          <w:sz w:val="20"/>
          <w:szCs w:val="20"/>
        </w:rPr>
        <w:t>.</w:t>
      </w:r>
    </w:p>
    <w:p w14:paraId="190E0134" w14:textId="4624CBC6"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Wystawca dokumentu ubezpieczeniowego, podpisy, daty, suma ubezpieczenia</w:t>
      </w:r>
      <w:r w:rsidR="00946816">
        <w:rPr>
          <w:rFonts w:asciiTheme="minorHAnsi" w:hAnsiTheme="minorHAnsi" w:cstheme="minorHAnsi"/>
          <w:bCs/>
          <w:iCs/>
          <w:sz w:val="20"/>
          <w:szCs w:val="20"/>
        </w:rPr>
        <w:t>.</w:t>
      </w:r>
    </w:p>
    <w:p w14:paraId="4950DA64" w14:textId="0CAA4C31"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Konieczne warunki ubezpieczenia, klauzule ubezpieczeniowe, w tym klauzule instytutowe ICC A, B, C</w:t>
      </w:r>
      <w:r w:rsidR="00946816">
        <w:rPr>
          <w:rFonts w:asciiTheme="minorHAnsi" w:hAnsiTheme="minorHAnsi" w:cstheme="minorHAnsi"/>
          <w:bCs/>
          <w:iCs/>
          <w:sz w:val="20"/>
          <w:szCs w:val="20"/>
        </w:rPr>
        <w:t>.</w:t>
      </w:r>
    </w:p>
    <w:p w14:paraId="3DD71881" w14:textId="7C399E6E"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Interpretacja terminu „All risks”</w:t>
      </w:r>
      <w:r w:rsidR="00946816">
        <w:rPr>
          <w:rFonts w:asciiTheme="minorHAnsi" w:hAnsiTheme="minorHAnsi" w:cstheme="minorHAnsi"/>
          <w:bCs/>
          <w:iCs/>
          <w:sz w:val="20"/>
          <w:szCs w:val="20"/>
        </w:rPr>
        <w:t>.</w:t>
      </w:r>
    </w:p>
    <w:p w14:paraId="7FD3CF19" w14:textId="497FEFBA"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Akceptowane formy wystawienia dokumentu (termin „to order of”) i przenoszenia praw</w:t>
      </w:r>
      <w:r w:rsidR="00946816">
        <w:rPr>
          <w:rFonts w:asciiTheme="minorHAnsi" w:hAnsiTheme="minorHAnsi" w:cstheme="minorHAnsi"/>
          <w:bCs/>
          <w:iCs/>
          <w:sz w:val="20"/>
          <w:szCs w:val="20"/>
        </w:rPr>
        <w:t>.</w:t>
      </w:r>
    </w:p>
    <w:p w14:paraId="182F48B9" w14:textId="4C1C7F85" w:rsidR="00064D9D" w:rsidRPr="00565288" w:rsidRDefault="00064D9D" w:rsidP="00565288">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PRZYGOTOWANIE DOKUMENTÓW POMOCNICZYCH (W TYM ŚWIADECTWA POCHODZENIA), SKŁADANYCH W RAMACH AKREDYTYWY I INTERPRETACJA CO MOŻE W NIM STANOWIĆ ROZBIEŻNOŚĆ A CO NIĄ NIE JEST (WG. UCP 600, ISBP 745 ORAZ PRAKTYKI BANKOWEJ)</w:t>
      </w:r>
      <w:r w:rsidR="00946816" w:rsidRPr="00565288">
        <w:rPr>
          <w:rFonts w:asciiTheme="minorHAnsi" w:hAnsiTheme="minorHAnsi" w:cstheme="minorHAnsi"/>
          <w:b/>
          <w:iCs/>
          <w:color w:val="003399"/>
          <w:sz w:val="20"/>
          <w:szCs w:val="20"/>
        </w:rPr>
        <w:t>.</w:t>
      </w:r>
    </w:p>
    <w:p w14:paraId="69058D30" w14:textId="7C55000F"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Świadectwo pochodzenia (Certificate of origin) i akceptowani jego wystawcy oraz formy</w:t>
      </w:r>
      <w:r w:rsidR="00946816">
        <w:rPr>
          <w:rFonts w:asciiTheme="minorHAnsi" w:hAnsiTheme="minorHAnsi" w:cstheme="minorHAnsi"/>
          <w:bCs/>
          <w:iCs/>
          <w:sz w:val="20"/>
          <w:szCs w:val="20"/>
        </w:rPr>
        <w:t>.</w:t>
      </w:r>
      <w:r w:rsidRPr="00064D9D">
        <w:rPr>
          <w:rFonts w:asciiTheme="minorHAnsi" w:hAnsiTheme="minorHAnsi" w:cstheme="minorHAnsi"/>
          <w:bCs/>
          <w:iCs/>
          <w:sz w:val="20"/>
          <w:szCs w:val="20"/>
        </w:rPr>
        <w:t xml:space="preserve"> </w:t>
      </w:r>
    </w:p>
    <w:p w14:paraId="15065C2E" w14:textId="63F02B1F"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Wymagane zapisy na Świadectwie pochodzenia oraz najczęściej popełniane błędy</w:t>
      </w:r>
      <w:r w:rsidR="00946816">
        <w:rPr>
          <w:rFonts w:asciiTheme="minorHAnsi" w:hAnsiTheme="minorHAnsi" w:cstheme="minorHAnsi"/>
          <w:bCs/>
          <w:iCs/>
          <w:sz w:val="20"/>
          <w:szCs w:val="20"/>
        </w:rPr>
        <w:t>.</w:t>
      </w:r>
    </w:p>
    <w:p w14:paraId="300B2036" w14:textId="0FB31EDA"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Packing list, weight list, note of slip i elementy tych dokumentów oraz zasady ich analizy przez bank</w:t>
      </w:r>
      <w:r w:rsidR="00946816">
        <w:rPr>
          <w:rFonts w:asciiTheme="minorHAnsi" w:hAnsiTheme="minorHAnsi" w:cstheme="minorHAnsi"/>
          <w:bCs/>
          <w:iCs/>
          <w:sz w:val="20"/>
          <w:szCs w:val="20"/>
        </w:rPr>
        <w:t>.</w:t>
      </w:r>
    </w:p>
    <w:p w14:paraId="35DF86BE" w14:textId="65B35BD2"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Beneficiary’s certificate – funkcje dokumentu i zasady analizy daty, podpisów oraz niezbędnych zapisów</w:t>
      </w:r>
      <w:r w:rsidR="00946816">
        <w:rPr>
          <w:rFonts w:asciiTheme="minorHAnsi" w:hAnsiTheme="minorHAnsi" w:cstheme="minorHAnsi"/>
          <w:bCs/>
          <w:iCs/>
          <w:sz w:val="20"/>
          <w:szCs w:val="20"/>
        </w:rPr>
        <w:t>.</w:t>
      </w:r>
    </w:p>
    <w:p w14:paraId="5B40F9AB" w14:textId="2CD68432" w:rsidR="00064D9D" w:rsidRPr="00464422" w:rsidRDefault="00064D9D" w:rsidP="00565288">
      <w:pPr>
        <w:numPr>
          <w:ilvl w:val="1"/>
          <w:numId w:val="2"/>
        </w:numPr>
        <w:spacing w:after="120"/>
        <w:ind w:left="357"/>
        <w:jc w:val="both"/>
        <w:rPr>
          <w:rFonts w:asciiTheme="minorHAnsi" w:hAnsiTheme="minorHAnsi" w:cstheme="minorHAnsi"/>
          <w:bCs/>
          <w:iCs/>
          <w:sz w:val="20"/>
          <w:szCs w:val="20"/>
          <w:lang w:val="en-US"/>
        </w:rPr>
      </w:pPr>
      <w:r w:rsidRPr="00464422">
        <w:rPr>
          <w:rFonts w:asciiTheme="minorHAnsi" w:hAnsiTheme="minorHAnsi" w:cstheme="minorHAnsi"/>
          <w:bCs/>
          <w:iCs/>
          <w:sz w:val="20"/>
          <w:szCs w:val="20"/>
          <w:lang w:val="en-US"/>
        </w:rPr>
        <w:t>Świadectwa jakości, ilości, badania - Quality Certificate, Quantity Certificate, Inspection Certificate</w:t>
      </w:r>
      <w:r w:rsidR="00946816" w:rsidRPr="00464422">
        <w:rPr>
          <w:rFonts w:asciiTheme="minorHAnsi" w:hAnsiTheme="minorHAnsi" w:cstheme="minorHAnsi"/>
          <w:bCs/>
          <w:iCs/>
          <w:sz w:val="20"/>
          <w:szCs w:val="20"/>
          <w:lang w:val="en-US"/>
        </w:rPr>
        <w:t>.</w:t>
      </w:r>
    </w:p>
    <w:p w14:paraId="14FCADE5" w14:textId="3C9A4423" w:rsidR="00064D9D" w:rsidRPr="00565288" w:rsidRDefault="00064D9D" w:rsidP="00C80384">
      <w:pPr>
        <w:pStyle w:val="Akapitzlist"/>
        <w:numPr>
          <w:ilvl w:val="0"/>
          <w:numId w:val="26"/>
        </w:numPr>
        <w:ind w:left="357" w:hanging="357"/>
        <w:jc w:val="both"/>
        <w:rPr>
          <w:rFonts w:asciiTheme="minorHAnsi" w:hAnsiTheme="minorHAnsi" w:cstheme="minorHAnsi"/>
          <w:b/>
          <w:iCs/>
          <w:color w:val="003399"/>
          <w:sz w:val="20"/>
          <w:szCs w:val="20"/>
        </w:rPr>
      </w:pPr>
      <w:r w:rsidRPr="00565288">
        <w:rPr>
          <w:rFonts w:asciiTheme="minorHAnsi" w:hAnsiTheme="minorHAnsi" w:cstheme="minorHAnsi"/>
          <w:b/>
          <w:iCs/>
          <w:color w:val="003399"/>
          <w:sz w:val="20"/>
          <w:szCs w:val="20"/>
        </w:rPr>
        <w:t>ZASADY WERYFIKACJI PRAWIDŁOWOŚCI DOKUMENTÓW PRZEZ BANKI WG. TZW. CHECK LIST</w:t>
      </w:r>
      <w:r w:rsidR="00946816" w:rsidRPr="00565288">
        <w:rPr>
          <w:rFonts w:asciiTheme="minorHAnsi" w:hAnsiTheme="minorHAnsi" w:cstheme="minorHAnsi"/>
          <w:b/>
          <w:iCs/>
          <w:color w:val="003399"/>
          <w:sz w:val="20"/>
          <w:szCs w:val="20"/>
        </w:rPr>
        <w:t>.</w:t>
      </w:r>
    </w:p>
    <w:p w14:paraId="3CA7D474" w14:textId="0534C19E"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Dopuszczalne sposoby złożenia dokumentów towarowych w banku</w:t>
      </w:r>
      <w:r w:rsidR="00946816">
        <w:rPr>
          <w:rFonts w:asciiTheme="minorHAnsi" w:hAnsiTheme="minorHAnsi" w:cstheme="minorHAnsi"/>
          <w:bCs/>
          <w:iCs/>
          <w:sz w:val="20"/>
          <w:szCs w:val="20"/>
        </w:rPr>
        <w:t>.</w:t>
      </w:r>
    </w:p>
    <w:p w14:paraId="0D8E2AB4" w14:textId="53F48823"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Terminy, którymi związany jest bank po złożeniu dokumentów przez eksportera</w:t>
      </w:r>
      <w:r w:rsidR="00946816">
        <w:rPr>
          <w:rFonts w:asciiTheme="minorHAnsi" w:hAnsiTheme="minorHAnsi" w:cstheme="minorHAnsi"/>
          <w:bCs/>
          <w:iCs/>
          <w:sz w:val="20"/>
          <w:szCs w:val="20"/>
        </w:rPr>
        <w:t>.</w:t>
      </w:r>
    </w:p>
    <w:p w14:paraId="2208F696" w14:textId="67179A54"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postępowania banku, który posiada pełnomocnictwo do negocjowania dokumentów</w:t>
      </w:r>
      <w:r w:rsidR="00946816">
        <w:rPr>
          <w:rFonts w:asciiTheme="minorHAnsi" w:hAnsiTheme="minorHAnsi" w:cstheme="minorHAnsi"/>
          <w:bCs/>
          <w:iCs/>
          <w:sz w:val="20"/>
          <w:szCs w:val="20"/>
        </w:rPr>
        <w:t>.</w:t>
      </w:r>
    </w:p>
    <w:p w14:paraId="4CE89F00" w14:textId="0F886CC6"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Procedury analizy dokumentów handlowych w bankach</w:t>
      </w:r>
      <w:r w:rsidR="00946816">
        <w:rPr>
          <w:rFonts w:asciiTheme="minorHAnsi" w:hAnsiTheme="minorHAnsi" w:cstheme="minorHAnsi"/>
          <w:bCs/>
          <w:iCs/>
          <w:sz w:val="20"/>
          <w:szCs w:val="20"/>
        </w:rPr>
        <w:t>.</w:t>
      </w:r>
    </w:p>
    <w:p w14:paraId="132899EB" w14:textId="7FC19CC0"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Zasady postępowania po odrzuceniu dokumentów, przyjęcie z zastrzeżeniem, opłaty z tych tytułów</w:t>
      </w:r>
      <w:r w:rsidR="00946816">
        <w:rPr>
          <w:rFonts w:asciiTheme="minorHAnsi" w:hAnsiTheme="minorHAnsi" w:cstheme="minorHAnsi"/>
          <w:bCs/>
          <w:iCs/>
          <w:sz w:val="20"/>
          <w:szCs w:val="20"/>
        </w:rPr>
        <w:t>.</w:t>
      </w:r>
    </w:p>
    <w:p w14:paraId="17A59AD3" w14:textId="41A77420"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Znoszenie zastrzeżeń, nowe terminy i wpływ procedury na płatność</w:t>
      </w:r>
      <w:r w:rsidR="00946816">
        <w:rPr>
          <w:rFonts w:asciiTheme="minorHAnsi" w:hAnsiTheme="minorHAnsi" w:cstheme="minorHAnsi"/>
          <w:bCs/>
          <w:iCs/>
          <w:sz w:val="20"/>
          <w:szCs w:val="20"/>
        </w:rPr>
        <w:t>.</w:t>
      </w:r>
    </w:p>
    <w:p w14:paraId="47314AF2" w14:textId="501ECB90" w:rsidR="00064D9D" w:rsidRPr="00064D9D" w:rsidRDefault="00064D9D" w:rsidP="00565288">
      <w:pPr>
        <w:numPr>
          <w:ilvl w:val="1"/>
          <w:numId w:val="2"/>
        </w:numPr>
        <w:spacing w:after="12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Błędy w dokumentach, z którymi bank musi je przyjąć a błędy krytyczne wg. check list</w:t>
      </w:r>
      <w:r w:rsidR="00946816">
        <w:rPr>
          <w:rFonts w:asciiTheme="minorHAnsi" w:hAnsiTheme="minorHAnsi" w:cstheme="minorHAnsi"/>
          <w:bCs/>
          <w:iCs/>
          <w:sz w:val="20"/>
          <w:szCs w:val="20"/>
        </w:rPr>
        <w:t>.</w:t>
      </w:r>
    </w:p>
    <w:p w14:paraId="47760BD6" w14:textId="0FF4A269" w:rsidR="00064D9D" w:rsidRPr="00EB41F7" w:rsidRDefault="00EB41F7" w:rsidP="00064D9D">
      <w:pPr>
        <w:jc w:val="both"/>
        <w:rPr>
          <w:rFonts w:asciiTheme="minorHAnsi" w:hAnsiTheme="minorHAnsi" w:cstheme="minorHAnsi"/>
          <w:b/>
          <w:iCs/>
          <w:color w:val="003399"/>
          <w:sz w:val="20"/>
          <w:szCs w:val="20"/>
        </w:rPr>
      </w:pPr>
      <w:r>
        <w:rPr>
          <w:rFonts w:asciiTheme="minorHAnsi" w:hAnsiTheme="minorHAnsi" w:cstheme="minorHAnsi"/>
          <w:b/>
          <w:iCs/>
          <w:color w:val="003399"/>
          <w:sz w:val="20"/>
          <w:szCs w:val="20"/>
        </w:rPr>
        <w:t>Analiza przypadków (case study)</w:t>
      </w:r>
      <w:r w:rsidR="00064D9D" w:rsidRPr="00EB41F7">
        <w:rPr>
          <w:rFonts w:asciiTheme="minorHAnsi" w:hAnsiTheme="minorHAnsi" w:cstheme="minorHAnsi"/>
          <w:b/>
          <w:iCs/>
          <w:color w:val="003399"/>
          <w:sz w:val="20"/>
          <w:szCs w:val="20"/>
        </w:rPr>
        <w:t>.</w:t>
      </w:r>
    </w:p>
    <w:p w14:paraId="16B0DAB3" w14:textId="68A7F5B9"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praktyczna analiza akredytyw (dokumenty SWIFT MT700)</w:t>
      </w:r>
      <w:r w:rsidR="00EB41F7">
        <w:rPr>
          <w:rFonts w:asciiTheme="minorHAnsi" w:hAnsiTheme="minorHAnsi" w:cstheme="minorHAnsi"/>
          <w:bCs/>
          <w:iCs/>
          <w:sz w:val="20"/>
          <w:szCs w:val="20"/>
        </w:rPr>
        <w:t>,</w:t>
      </w:r>
    </w:p>
    <w:p w14:paraId="19C2C338" w14:textId="333DE5DC" w:rsidR="00064D9D" w:rsidRPr="00064D9D" w:rsidRDefault="00064D9D" w:rsidP="006C6E71">
      <w:pPr>
        <w:numPr>
          <w:ilvl w:val="1"/>
          <w:numId w:val="2"/>
        </w:numPr>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praktyczna analiza błędów w dokumentach składanych przez sprzedającego</w:t>
      </w:r>
      <w:r w:rsidR="00EB41F7">
        <w:rPr>
          <w:rFonts w:asciiTheme="minorHAnsi" w:hAnsiTheme="minorHAnsi" w:cstheme="minorHAnsi"/>
          <w:bCs/>
          <w:iCs/>
          <w:sz w:val="20"/>
          <w:szCs w:val="20"/>
        </w:rPr>
        <w:t>,</w:t>
      </w:r>
    </w:p>
    <w:p w14:paraId="5FC80C0A" w14:textId="400FA51B" w:rsidR="00064D9D" w:rsidRPr="00064D9D" w:rsidRDefault="00064D9D" w:rsidP="00EF5692">
      <w:pPr>
        <w:numPr>
          <w:ilvl w:val="1"/>
          <w:numId w:val="2"/>
        </w:numPr>
        <w:spacing w:after="240"/>
        <w:ind w:left="357"/>
        <w:jc w:val="both"/>
        <w:rPr>
          <w:rFonts w:asciiTheme="minorHAnsi" w:hAnsiTheme="minorHAnsi" w:cstheme="minorHAnsi"/>
          <w:bCs/>
          <w:iCs/>
          <w:sz w:val="20"/>
          <w:szCs w:val="20"/>
        </w:rPr>
      </w:pPr>
      <w:r w:rsidRPr="00064D9D">
        <w:rPr>
          <w:rFonts w:asciiTheme="minorHAnsi" w:hAnsiTheme="minorHAnsi" w:cstheme="minorHAnsi"/>
          <w:bCs/>
          <w:iCs/>
          <w:sz w:val="20"/>
          <w:szCs w:val="20"/>
        </w:rPr>
        <w:t>praktyczne porady dotyczące znoszenia zastrzeżeń formułowanych przez bank</w:t>
      </w:r>
      <w:r w:rsidR="00EB41F7">
        <w:rPr>
          <w:rFonts w:asciiTheme="minorHAnsi" w:hAnsiTheme="minorHAnsi" w:cstheme="minorHAnsi"/>
          <w:bCs/>
          <w:iCs/>
          <w:sz w:val="20"/>
          <w:szCs w:val="20"/>
        </w:rPr>
        <w:t>.</w:t>
      </w:r>
    </w:p>
    <w:p w14:paraId="79A6F99C" w14:textId="1A631FCC" w:rsidR="00BD2537" w:rsidRPr="00BD2537" w:rsidRDefault="00BD2537" w:rsidP="00EF5692">
      <w:pPr>
        <w:spacing w:after="120"/>
        <w:jc w:val="both"/>
        <w:rPr>
          <w:rFonts w:ascii="Calibri" w:hAnsi="Calibri"/>
          <w:bCs/>
          <w:i/>
          <w:iCs/>
          <w:sz w:val="18"/>
          <w:szCs w:val="18"/>
        </w:rPr>
      </w:pPr>
      <w:r w:rsidRPr="00BD2537">
        <w:rPr>
          <w:rFonts w:ascii="Calibri" w:hAnsi="Calibri"/>
          <w:bCs/>
          <w:i/>
          <w:iCs/>
          <w:sz w:val="18"/>
          <w:szCs w:val="18"/>
        </w:rPr>
        <w:t xml:space="preserve">Program nie stanowi harmonogramu i tematy są omawiane w różnej, aczkolwiek logicznej kolejności oraz rozwijane zgodnie z zainteresowaniem uczestników. W trakcie szkolenia odpowiedzi na pytania uczestników dokonywane są na bieżąco. </w:t>
      </w:r>
    </w:p>
    <w:p w14:paraId="15C2E0F8" w14:textId="77777777" w:rsidR="00C66560" w:rsidRDefault="00C66560" w:rsidP="004A56AC">
      <w:pPr>
        <w:numPr>
          <w:ilvl w:val="1"/>
          <w:numId w:val="13"/>
        </w:numPr>
        <w:jc w:val="both"/>
        <w:rPr>
          <w:rFonts w:ascii="Calibri" w:hAnsi="Calibri"/>
          <w:iCs/>
          <w:sz w:val="20"/>
          <w:szCs w:val="20"/>
        </w:rPr>
      </w:pPr>
      <w:r>
        <w:rPr>
          <w:rFonts w:ascii="Calibri" w:hAnsi="Calibri"/>
          <w:iCs/>
          <w:sz w:val="20"/>
          <w:szCs w:val="20"/>
        </w:rPr>
        <w:t xml:space="preserve">Uczestnicy otrzymują komplet materiałów do wykorzystania w praktyce. </w:t>
      </w:r>
    </w:p>
    <w:p w14:paraId="703D47E8" w14:textId="77777777" w:rsidR="00C66560" w:rsidRDefault="00C66560" w:rsidP="004A56AC">
      <w:pPr>
        <w:numPr>
          <w:ilvl w:val="1"/>
          <w:numId w:val="13"/>
        </w:numPr>
        <w:rPr>
          <w:rFonts w:ascii="Calibri" w:hAnsi="Calibri"/>
          <w:b/>
          <w:iCs/>
          <w:sz w:val="20"/>
          <w:szCs w:val="20"/>
        </w:rPr>
      </w:pPr>
      <w:r>
        <w:rPr>
          <w:rFonts w:ascii="Calibri" w:hAnsi="Calibri"/>
          <w:b/>
          <w:iCs/>
          <w:sz w:val="20"/>
          <w:szCs w:val="20"/>
        </w:rPr>
        <w:t>DODATKOWO!</w:t>
      </w:r>
      <w:r>
        <w:rPr>
          <w:rFonts w:ascii="Calibri" w:hAnsi="Calibri"/>
          <w:iCs/>
          <w:sz w:val="20"/>
          <w:szCs w:val="20"/>
        </w:rPr>
        <w:t xml:space="preserve"> </w:t>
      </w:r>
      <w:r>
        <w:rPr>
          <w:rFonts w:ascii="Calibri" w:hAnsi="Calibri"/>
          <w:bCs/>
          <w:iCs/>
          <w:sz w:val="20"/>
          <w:szCs w:val="20"/>
        </w:rPr>
        <w:t>Konsultacje po szkoleniu przez Internet.</w:t>
      </w:r>
      <w:r>
        <w:rPr>
          <w:rFonts w:ascii="Calibri" w:hAnsi="Calibri"/>
          <w:b/>
          <w:iCs/>
          <w:sz w:val="20"/>
          <w:szCs w:val="20"/>
        </w:rPr>
        <w:t xml:space="preserve"> </w:t>
      </w:r>
    </w:p>
    <w:p w14:paraId="79FC89DC" w14:textId="77777777" w:rsidR="00C66560" w:rsidRPr="006C4953" w:rsidRDefault="00C66560" w:rsidP="00EF5692">
      <w:pPr>
        <w:numPr>
          <w:ilvl w:val="1"/>
          <w:numId w:val="13"/>
        </w:numPr>
        <w:spacing w:after="360"/>
        <w:jc w:val="both"/>
        <w:rPr>
          <w:rFonts w:ascii="Calibri" w:hAnsi="Calibri"/>
          <w:b/>
          <w:iCs/>
          <w:sz w:val="20"/>
          <w:szCs w:val="20"/>
        </w:rPr>
      </w:pPr>
      <w:r>
        <w:rPr>
          <w:rFonts w:ascii="Calibri" w:hAnsi="Calibri"/>
          <w:bCs/>
          <w:iCs/>
          <w:sz w:val="20"/>
          <w:szCs w:val="20"/>
        </w:rPr>
        <w:t>Zachęcamy uczestników do przesyłania pytań związanych z tematyką szkolenia na min. 10 dni przed jego terminem.</w:t>
      </w:r>
    </w:p>
    <w:p w14:paraId="6841C36B" w14:textId="77777777" w:rsidR="006C4953" w:rsidRPr="009F1754" w:rsidRDefault="006C4953" w:rsidP="004A56AC">
      <w:pPr>
        <w:shd w:val="clear" w:color="auto" w:fill="003399"/>
        <w:spacing w:after="60"/>
        <w:jc w:val="both"/>
        <w:rPr>
          <w:rFonts w:ascii="Calibri" w:hAnsi="Calibri"/>
          <w:color w:val="FFFFFF" w:themeColor="background1"/>
          <w:sz w:val="20"/>
          <w:szCs w:val="20"/>
        </w:rPr>
      </w:pPr>
      <w:r w:rsidRPr="009F1754">
        <w:rPr>
          <w:rFonts w:ascii="Calibri" w:hAnsi="Calibri"/>
          <w:b/>
          <w:color w:val="FFFFFF" w:themeColor="background1"/>
          <w:sz w:val="20"/>
          <w:szCs w:val="20"/>
        </w:rPr>
        <w:t>PROWADZĄCY: Dr Wojciech Budzyński</w:t>
      </w:r>
      <w:r w:rsidRPr="009F1754">
        <w:rPr>
          <w:rFonts w:ascii="Calibri" w:hAnsi="Calibri"/>
          <w:color w:val="FFFFFF" w:themeColor="background1"/>
          <w:sz w:val="20"/>
          <w:szCs w:val="20"/>
        </w:rPr>
        <w:t xml:space="preserve">. </w:t>
      </w:r>
    </w:p>
    <w:p w14:paraId="241049B0" w14:textId="795CFE0E" w:rsidR="006C4953" w:rsidRPr="00EF5692" w:rsidRDefault="006C4953" w:rsidP="006C4953">
      <w:pPr>
        <w:spacing w:before="120"/>
        <w:jc w:val="both"/>
        <w:rPr>
          <w:rFonts w:asciiTheme="minorHAnsi" w:hAnsiTheme="minorHAnsi"/>
          <w:sz w:val="18"/>
          <w:szCs w:val="18"/>
          <w:lang w:eastAsia="en-US"/>
        </w:rPr>
      </w:pPr>
      <w:r w:rsidRPr="00EF5692">
        <w:rPr>
          <w:rFonts w:asciiTheme="minorHAnsi" w:hAnsiTheme="minorHAnsi"/>
          <w:b/>
          <w:bCs/>
          <w:sz w:val="18"/>
          <w:szCs w:val="18"/>
          <w:lang w:eastAsia="en-US"/>
        </w:rPr>
        <w:t>Jest uznanym specjalistą w zakresie negocjowania i zawierania umów handlowych z partnerem krajowym i zagranicznym. Wiedzę praktyczną zdobywał przez ponad 30 lat jako handlowiec, dyrektor firmy handlowej, kolejno szef jej dwóch oddziałów za granicą, doradca ministra, starszy ekspert Banku Światowego. Zagadnieniami tymi zajmuje się zarówno w sposób praktyczny, jak i naukowy, pracując w Szkole Głównej Handlowej w Warszawie.</w:t>
      </w:r>
      <w:r w:rsidRPr="00EF5692">
        <w:rPr>
          <w:rFonts w:asciiTheme="minorHAnsi" w:hAnsiTheme="minorHAnsi"/>
          <w:sz w:val="18"/>
          <w:szCs w:val="18"/>
          <w:lang w:eastAsia="en-US"/>
        </w:rPr>
        <w:t xml:space="preserve"> Jest długoletnim doradcą wielu firm polskich i międzynarodowych korporacji w Polsce, w tym w zakresie negocjacji z partnerami zagranicznymi oraz analizy umów pod względem pułapek </w:t>
      </w:r>
      <w:r w:rsidR="009F1754" w:rsidRPr="00EF5692">
        <w:rPr>
          <w:rFonts w:asciiTheme="minorHAnsi" w:hAnsiTheme="minorHAnsi"/>
          <w:sz w:val="18"/>
          <w:szCs w:val="18"/>
          <w:lang w:eastAsia="en-US"/>
        </w:rPr>
        <w:t xml:space="preserve"> </w:t>
      </w:r>
      <w:r w:rsidRPr="00EF5692">
        <w:rPr>
          <w:rFonts w:asciiTheme="minorHAnsi" w:hAnsiTheme="minorHAnsi"/>
          <w:sz w:val="18"/>
          <w:szCs w:val="18"/>
          <w:lang w:eastAsia="en-US"/>
        </w:rPr>
        <w:t xml:space="preserve">i niekorzystnych sformułowań. Prowadził negocjacje handlowe z przedstawicielami różnych kultur. Przeszkolił kilkadziesiąt tysięcy menedżerów i handlowców oraz napisał 60 książek, wydanych w kraju i za granicą, w tym poświęcone akredytywie i innym zabezpieczeniom finansowym transakcji. Szczególnym powodzeniem na rynku cieszyła się książka „ Leksykon handlu zagranicznego – rozliczenia i finanse”, zawierająca najszerszy w literaturze przegląd zabezpieczeń finansowych </w:t>
      </w:r>
      <w:r w:rsidR="004C0316" w:rsidRPr="00EF5692">
        <w:rPr>
          <w:rFonts w:asciiTheme="minorHAnsi" w:hAnsiTheme="minorHAnsi"/>
          <w:sz w:val="18"/>
          <w:szCs w:val="18"/>
          <w:lang w:eastAsia="en-US"/>
        </w:rPr>
        <w:t xml:space="preserve"> </w:t>
      </w:r>
      <w:r w:rsidRPr="00EF5692">
        <w:rPr>
          <w:rFonts w:asciiTheme="minorHAnsi" w:hAnsiTheme="minorHAnsi"/>
          <w:sz w:val="18"/>
          <w:szCs w:val="18"/>
          <w:lang w:eastAsia="en-US"/>
        </w:rPr>
        <w:t xml:space="preserve">i sposobów rozliczeń transakcji </w:t>
      </w:r>
      <w:r w:rsidR="00EF5692">
        <w:rPr>
          <w:rFonts w:asciiTheme="minorHAnsi" w:hAnsiTheme="minorHAnsi"/>
          <w:sz w:val="18"/>
          <w:szCs w:val="18"/>
          <w:lang w:eastAsia="en-US"/>
        </w:rPr>
        <w:t xml:space="preserve">                </w:t>
      </w:r>
      <w:r w:rsidRPr="00EF5692">
        <w:rPr>
          <w:rFonts w:asciiTheme="minorHAnsi" w:hAnsiTheme="minorHAnsi"/>
          <w:sz w:val="18"/>
          <w:szCs w:val="18"/>
          <w:lang w:eastAsia="en-US"/>
        </w:rPr>
        <w:t>(m.in. dokładną analizę 47 rodzajów akredytyw czy 19 rodzajów inkasa).</w:t>
      </w:r>
    </w:p>
    <w:p w14:paraId="1FE7A827" w14:textId="5F16DF97" w:rsidR="006C4953" w:rsidRPr="00EF5692" w:rsidRDefault="006C4953" w:rsidP="006C4953">
      <w:pPr>
        <w:spacing w:before="120"/>
        <w:jc w:val="both"/>
        <w:rPr>
          <w:rFonts w:ascii="Calibri" w:hAnsi="Calibri"/>
          <w:color w:val="003366"/>
          <w:sz w:val="18"/>
          <w:szCs w:val="18"/>
        </w:rPr>
      </w:pPr>
      <w:r w:rsidRPr="00EF5692">
        <w:rPr>
          <w:rFonts w:asciiTheme="minorHAnsi" w:hAnsiTheme="minorHAnsi"/>
          <w:sz w:val="18"/>
          <w:szCs w:val="18"/>
          <w:lang w:eastAsia="en-US"/>
        </w:rPr>
        <w:t>Inne pozycje autorstwa dr Wojciecha Budzyńskiego poświęconych tematyce handlowej to, m.in.: „Eksport w prz</w:t>
      </w:r>
      <w:r w:rsidR="004C0316" w:rsidRPr="00EF5692">
        <w:rPr>
          <w:rFonts w:asciiTheme="minorHAnsi" w:hAnsiTheme="minorHAnsi"/>
          <w:sz w:val="18"/>
          <w:szCs w:val="18"/>
          <w:lang w:eastAsia="en-US"/>
        </w:rPr>
        <w:t xml:space="preserve">edsiębiorstwie” (2016), „Zakupy </w:t>
      </w:r>
      <w:r w:rsidR="00EF5692">
        <w:rPr>
          <w:rFonts w:asciiTheme="minorHAnsi" w:hAnsiTheme="minorHAnsi"/>
          <w:sz w:val="18"/>
          <w:szCs w:val="18"/>
          <w:lang w:eastAsia="en-US"/>
        </w:rPr>
        <w:t xml:space="preserve">                      </w:t>
      </w:r>
      <w:r w:rsidRPr="00EF5692">
        <w:rPr>
          <w:rFonts w:asciiTheme="minorHAnsi" w:hAnsiTheme="minorHAnsi"/>
          <w:sz w:val="18"/>
          <w:szCs w:val="18"/>
          <w:lang w:eastAsia="en-US"/>
        </w:rPr>
        <w:t xml:space="preserve">w przedsiębiorstwie” (2016) „Negocjowanie i zawieranie umów handlowych.” (wydanie elektroniczne EBOOK 2015),  „Umowy  w handlu krajowym i zagranicznym. Nowe bazy dostawy, pułapki, zabezpieczenia.” (2015), „Negocjowanie i zawieranie umów handlowych. Analiza uwarunkowań, ryzyk, pułapek i zabezpieczeń.”, Biblioteka Nowoczesnego Menedżera (2014), „Handel zagraniczny dla menedżerów.”, „Prawo międzynarodowe. Transakcje międzynarodowe.” Podręcznik na Studia MBA, „Międzynarodowe reguły realizacji kontraktu. Incoterms. Combiterms. Amerykańskie Definicje Handlowe RAFTD.”, „Poradnik eksportera komponentów.”, „Słownik dokumentów handlu zagranicznego. Opis i wzory dokumentów.”, „Eksport </w:t>
      </w:r>
      <w:r w:rsidR="00EF5692">
        <w:rPr>
          <w:rFonts w:asciiTheme="minorHAnsi" w:hAnsiTheme="minorHAnsi"/>
          <w:sz w:val="18"/>
          <w:szCs w:val="18"/>
          <w:lang w:eastAsia="en-US"/>
        </w:rPr>
        <w:t xml:space="preserve">                      </w:t>
      </w:r>
      <w:r w:rsidRPr="00EF5692">
        <w:rPr>
          <w:rFonts w:asciiTheme="minorHAnsi" w:hAnsiTheme="minorHAnsi"/>
          <w:sz w:val="18"/>
          <w:szCs w:val="18"/>
          <w:lang w:eastAsia="en-US"/>
        </w:rPr>
        <w:t>– import według Incoterms.” „Realizacja kontraktu importowego i eksportowego.”, „Realizacja transakcji importowej.”, „Wykładnia terminów handlowych Incoterms.”</w:t>
      </w:r>
    </w:p>
    <w:p w14:paraId="5F0515BB" w14:textId="77777777" w:rsidR="003907A1" w:rsidRPr="00CA7EA1" w:rsidRDefault="003907A1" w:rsidP="005C72B0">
      <w:pPr>
        <w:shd w:val="clear" w:color="auto" w:fill="003399"/>
        <w:ind w:right="6"/>
        <w:jc w:val="center"/>
        <w:rPr>
          <w:rFonts w:ascii="Calibri" w:hAnsi="Calibri"/>
          <w:b/>
          <w:bCs/>
          <w:color w:val="FFFFFF"/>
          <w:sz w:val="16"/>
          <w:szCs w:val="16"/>
        </w:rPr>
      </w:pPr>
    </w:p>
    <w:p w14:paraId="611F9168" w14:textId="77777777" w:rsidR="003907A1" w:rsidRPr="00615593" w:rsidRDefault="003907A1" w:rsidP="00CA7EA1">
      <w:pPr>
        <w:shd w:val="clear" w:color="auto" w:fill="003399"/>
        <w:ind w:right="6"/>
        <w:jc w:val="center"/>
        <w:rPr>
          <w:rFonts w:ascii="Calibri" w:hAnsi="Calibri"/>
          <w:b/>
          <w:bCs/>
          <w:color w:val="FFFFFF"/>
          <w:sz w:val="18"/>
          <w:szCs w:val="18"/>
        </w:rPr>
      </w:pPr>
      <w:r w:rsidRPr="00615593">
        <w:rPr>
          <w:rFonts w:ascii="Calibri" w:hAnsi="Calibri"/>
          <w:b/>
          <w:bCs/>
          <w:color w:val="FFFFFF"/>
          <w:sz w:val="18"/>
          <w:szCs w:val="18"/>
        </w:rPr>
        <w:t>SZKOLENIA ZAMKNIĘTE</w:t>
      </w:r>
    </w:p>
    <w:p w14:paraId="131A20E5" w14:textId="78FA8E25" w:rsidR="003907A1" w:rsidRDefault="003907A1" w:rsidP="00713999">
      <w:pPr>
        <w:shd w:val="clear" w:color="auto" w:fill="003399"/>
        <w:ind w:right="6"/>
        <w:jc w:val="center"/>
        <w:rPr>
          <w:rStyle w:val="Hipercze"/>
          <w:rFonts w:ascii="Calibri" w:hAnsi="Calibri"/>
          <w:b/>
          <w:bCs/>
          <w:color w:val="FFFFFF" w:themeColor="background1"/>
          <w:sz w:val="18"/>
          <w:szCs w:val="18"/>
        </w:rPr>
      </w:pPr>
      <w:r w:rsidRPr="00615593">
        <w:rPr>
          <w:rFonts w:ascii="Calibri" w:hAnsi="Calibri"/>
          <w:b/>
          <w:bCs/>
          <w:color w:val="FFFFFF"/>
          <w:sz w:val="18"/>
          <w:szCs w:val="18"/>
        </w:rPr>
        <w:t xml:space="preserve">– JEŻELI JESTEŚCIE PAŃSTWO ZAINTERESOWANI REALIZACJĄ TEGO SZKOLENIA  W SWOJEJ FIRMIE </w:t>
      </w:r>
      <w:r w:rsidR="001E122F" w:rsidRPr="00615593">
        <w:rPr>
          <w:rFonts w:ascii="Calibri" w:hAnsi="Calibri"/>
          <w:b/>
          <w:bCs/>
          <w:color w:val="FFC000"/>
          <w:sz w:val="18"/>
          <w:szCs w:val="18"/>
        </w:rPr>
        <w:t>(TAKŻE ONLINE)</w:t>
      </w:r>
      <w:r w:rsidR="001E122F" w:rsidRPr="00615593">
        <w:rPr>
          <w:rFonts w:ascii="Calibri" w:hAnsi="Calibri"/>
          <w:b/>
          <w:bCs/>
          <w:color w:val="FFFFFF"/>
          <w:sz w:val="18"/>
          <w:szCs w:val="18"/>
        </w:rPr>
        <w:t xml:space="preserve"> </w:t>
      </w:r>
      <w:r w:rsidR="00615593">
        <w:rPr>
          <w:rFonts w:ascii="Calibri" w:hAnsi="Calibri"/>
          <w:b/>
          <w:bCs/>
          <w:color w:val="FFFFFF"/>
          <w:sz w:val="18"/>
          <w:szCs w:val="18"/>
        </w:rPr>
        <w:t xml:space="preserve">                                                  </w:t>
      </w:r>
      <w:r w:rsidRPr="00615593">
        <w:rPr>
          <w:rFonts w:ascii="Calibri" w:hAnsi="Calibri"/>
          <w:b/>
          <w:bCs/>
          <w:color w:val="FFFFFF"/>
          <w:sz w:val="18"/>
          <w:szCs w:val="18"/>
        </w:rPr>
        <w:t>PROSIMY O KONTAKT TELEFONICZNY: 22 853 35 23, TEL. KOM.: 607 573 053 LUB E-MAIL</w:t>
      </w:r>
      <w:r w:rsidRPr="00615593">
        <w:rPr>
          <w:rFonts w:ascii="Calibri" w:hAnsi="Calibri"/>
          <w:b/>
          <w:bCs/>
          <w:color w:val="FFFFFF" w:themeColor="background1"/>
          <w:sz w:val="18"/>
          <w:szCs w:val="18"/>
        </w:rPr>
        <w:t xml:space="preserve">: </w:t>
      </w:r>
      <w:hyperlink r:id="rId7" w:history="1">
        <w:r w:rsidRPr="00615593">
          <w:rPr>
            <w:rStyle w:val="Hipercze"/>
            <w:rFonts w:ascii="Calibri" w:hAnsi="Calibri"/>
            <w:b/>
            <w:bCs/>
            <w:color w:val="FFFFFF" w:themeColor="background1"/>
            <w:sz w:val="18"/>
            <w:szCs w:val="18"/>
          </w:rPr>
          <w:t>atl@atl.edu.pl</w:t>
        </w:r>
      </w:hyperlink>
    </w:p>
    <w:p w14:paraId="409E5D16" w14:textId="77777777" w:rsidR="00713999" w:rsidRPr="00615593" w:rsidRDefault="00713999" w:rsidP="00713999">
      <w:pPr>
        <w:shd w:val="clear" w:color="auto" w:fill="003399"/>
        <w:ind w:right="6"/>
        <w:jc w:val="center"/>
        <w:rPr>
          <w:sz w:val="18"/>
          <w:szCs w:val="18"/>
        </w:rPr>
      </w:pPr>
    </w:p>
    <w:p w14:paraId="6FF29F64" w14:textId="03133B01" w:rsidR="00EF75C5" w:rsidRPr="00713999" w:rsidRDefault="003907A1" w:rsidP="00D846F5">
      <w:pPr>
        <w:pStyle w:val="Tekstpodstawowy2"/>
        <w:spacing w:before="120"/>
        <w:jc w:val="both"/>
        <w:rPr>
          <w:rFonts w:ascii="Calibri" w:hAnsi="Calibri"/>
          <w:b/>
          <w:color w:val="FFFFFF"/>
          <w:sz w:val="20"/>
          <w:szCs w:val="20"/>
        </w:rPr>
        <w:sectPr w:rsidR="00EF75C5" w:rsidRPr="00713999" w:rsidSect="00A63912">
          <w:headerReference w:type="default" r:id="rId8"/>
          <w:footerReference w:type="even" r:id="rId9"/>
          <w:footerReference w:type="default" r:id="rId10"/>
          <w:type w:val="continuous"/>
          <w:pgSz w:w="11906" w:h="16838" w:code="9"/>
          <w:pgMar w:top="680" w:right="567" w:bottom="680" w:left="567" w:header="567" w:footer="624" w:gutter="0"/>
          <w:pgNumType w:start="1"/>
          <w:cols w:space="284"/>
          <w:docGrid w:linePitch="212"/>
        </w:sectPr>
      </w:pPr>
      <w:r w:rsidRPr="005C72B0">
        <w:rPr>
          <w:rFonts w:ascii="Calibri" w:hAnsi="Calibri"/>
          <w:b/>
          <w:bCs/>
          <w:i/>
          <w:iCs/>
          <w:color w:val="003399"/>
          <w:sz w:val="20"/>
          <w:szCs w:val="20"/>
        </w:rPr>
        <w:t>Szkolenia zamknięte organizowaliśmy m.in. dla:</w:t>
      </w:r>
    </w:p>
    <w:p w14:paraId="7A65ACA8" w14:textId="77777777" w:rsidR="00497FDA" w:rsidRDefault="00497FDA" w:rsidP="00697FAC">
      <w:pPr>
        <w:pStyle w:val="Tekstpodstawowy2"/>
        <w:rPr>
          <w:rFonts w:ascii="Calibri" w:hAnsi="Calibri"/>
          <w:i/>
          <w:iCs/>
          <w:sz w:val="12"/>
          <w:szCs w:val="12"/>
        </w:rPr>
        <w:sectPr w:rsidR="00497FDA" w:rsidSect="00A63912">
          <w:type w:val="continuous"/>
          <w:pgSz w:w="11906" w:h="16838" w:code="9"/>
          <w:pgMar w:top="680" w:right="567" w:bottom="680" w:left="567" w:header="567" w:footer="624" w:gutter="0"/>
          <w:pgNumType w:start="1"/>
          <w:cols w:num="3" w:space="284"/>
          <w:docGrid w:linePitch="212"/>
        </w:sectPr>
      </w:pPr>
    </w:p>
    <w:p w14:paraId="6C96CA8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ABB Sp. z o.o.,</w:t>
      </w:r>
    </w:p>
    <w:p w14:paraId="6FE437A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Aesculap Chifa Sp. z o.o.,</w:t>
      </w:r>
    </w:p>
    <w:p w14:paraId="21377B0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6876828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Agencja Mienia Wojskowego,</w:t>
      </w:r>
    </w:p>
    <w:p w14:paraId="257AFCA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Agrifeed Sp. z o.o.,</w:t>
      </w:r>
    </w:p>
    <w:p w14:paraId="7A3AF9D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43908EC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ALNOR Systemy Wentylacji Sp. z o.o.,</w:t>
      </w:r>
    </w:p>
    <w:p w14:paraId="1BC1DC3B"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772A93E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ALTADIS POLSKA S.A.,</w:t>
      </w:r>
    </w:p>
    <w:p w14:paraId="3779084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Alupol Packaging S.A.,</w:t>
      </w:r>
    </w:p>
    <w:p w14:paraId="393F029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Alupol Packaging Kęty Sp. z o.o.,</w:t>
      </w:r>
    </w:p>
    <w:p w14:paraId="4152B47E"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Alupol Films Sp. z o.o.</w:t>
      </w:r>
    </w:p>
    <w:p w14:paraId="1CE31F9D"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AMTRA Sp. z o.o.,</w:t>
      </w:r>
    </w:p>
    <w:p w14:paraId="50409BB5"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59A24824"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41B681AB"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AXTONE S.A.,</w:t>
      </w:r>
    </w:p>
    <w:p w14:paraId="119948E0"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408D855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Backer OBR Sp. z o.o., </w:t>
      </w:r>
    </w:p>
    <w:p w14:paraId="1041AE9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Bahlsen Polska Sp. z o.o., </w:t>
      </w:r>
    </w:p>
    <w:p w14:paraId="42D3384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3C231E2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2A48FC5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BARLINEK S.A.,</w:t>
      </w:r>
    </w:p>
    <w:p w14:paraId="4D05493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5ED73C0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BE &amp; K Europe Sp. z o.o., </w:t>
      </w:r>
    </w:p>
    <w:p w14:paraId="0227432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BELL P.P.H.U.,</w:t>
      </w:r>
    </w:p>
    <w:p w14:paraId="3747B16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Bischof + Klein Polska GmbH,</w:t>
      </w:r>
    </w:p>
    <w:p w14:paraId="546E1A9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BMZ Poland Sp. z o.o.,</w:t>
      </w:r>
    </w:p>
    <w:p w14:paraId="1EFEA64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BSH Sprzęt Gospodarstwa Domowego Sp. z o.o.,</w:t>
      </w:r>
    </w:p>
    <w:p w14:paraId="2A3D33E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Capgemini Polska Sp. z o.o.,</w:t>
      </w:r>
    </w:p>
    <w:p w14:paraId="08FCFD69"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CAN-PACK S.A. FPN w Bydgoszczy,</w:t>
      </w:r>
    </w:p>
    <w:p w14:paraId="6C926C79"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CAPCHEM POLAND Sp. z o.o.,</w:t>
      </w:r>
    </w:p>
    <w:p w14:paraId="48585B29"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CAT LC Polska Sp. z o.o.,</w:t>
      </w:r>
    </w:p>
    <w:p w14:paraId="00AE21D2"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Cefetra Polska Sp. z o.o.,</w:t>
      </w:r>
    </w:p>
    <w:p w14:paraId="3354144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CD Cargo Poland Sp. z o.o.,</w:t>
      </w:r>
    </w:p>
    <w:p w14:paraId="3B9BFC2F"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6A26621D"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5D8EDC2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CIECH S.A.,</w:t>
      </w:r>
    </w:p>
    <w:p w14:paraId="4CA1D54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CLIP Logistyka Sp. z o.o.,</w:t>
      </w:r>
    </w:p>
    <w:p w14:paraId="777F2B2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CP GLASS S.A.,</w:t>
      </w:r>
    </w:p>
    <w:p w14:paraId="64A85442"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28B54C0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CZACH-POMIAR Sp. z o.o., </w:t>
      </w:r>
    </w:p>
    <w:p w14:paraId="4E31AF0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Dajar Sp. z o.o.,</w:t>
      </w:r>
    </w:p>
    <w:p w14:paraId="6313C81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Davis Poland Sp. z o.o. Sp. K,</w:t>
      </w:r>
    </w:p>
    <w:p w14:paraId="08F0684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DB Cargo Polska S.A.,</w:t>
      </w:r>
    </w:p>
    <w:p w14:paraId="09DC8B8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DB Logistic Sp. z o.o.,</w:t>
      </w:r>
    </w:p>
    <w:p w14:paraId="6CE0EAC4"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0B9B5AA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DBI Plastics Sp. z o.o., </w:t>
      </w:r>
    </w:p>
    <w:p w14:paraId="61F1F02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Dedra-Exim Sp. z o.o.,</w:t>
      </w:r>
    </w:p>
    <w:p w14:paraId="1997753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Develey Polska Sp. z o.o.,</w:t>
      </w:r>
    </w:p>
    <w:p w14:paraId="62799A4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DEMIURG s.c.,</w:t>
      </w:r>
    </w:p>
    <w:p w14:paraId="6E20459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DONE Deliveries Misiek i Wspólnicy sp.j.,</w:t>
      </w:r>
    </w:p>
    <w:p w14:paraId="671AD413"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0B46C07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DREXIA Tomasz Wojtasik, </w:t>
      </w:r>
    </w:p>
    <w:p w14:paraId="345317E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Dora – Metal Sp. z o.o., </w:t>
      </w:r>
    </w:p>
    <w:p w14:paraId="72C813D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Energoserwis S.A.,</w:t>
      </w:r>
    </w:p>
    <w:p w14:paraId="00ADF7A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ENERIS Surowce S.A.,</w:t>
      </w:r>
    </w:p>
    <w:p w14:paraId="2D034FF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EnerSys Sp. z o.o., </w:t>
      </w:r>
    </w:p>
    <w:p w14:paraId="731E647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Elektrociepłownie Warszawskie S.A.,</w:t>
      </w:r>
    </w:p>
    <w:p w14:paraId="7001B42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0C6979A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456D307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08E950E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Famot Pleszew Sp. z o.o.,</w:t>
      </w:r>
    </w:p>
    <w:p w14:paraId="79D1513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6E254D4C"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28133DF1"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053C1E98"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Fabryka Taśm Transporterowych Wolbrom S.A.,</w:t>
      </w:r>
    </w:p>
    <w:p w14:paraId="6E6E711A"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 xml:space="preserve">FRoSTA Sp. z o.o., </w:t>
      </w:r>
    </w:p>
    <w:p w14:paraId="1DF5E20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Geis PL Sp. z o.o.,</w:t>
      </w:r>
    </w:p>
    <w:p w14:paraId="7CEC78C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GP ECO Sp. z o.o.,</w:t>
      </w:r>
    </w:p>
    <w:p w14:paraId="16E1AB5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FLSmidth MAAG Gear Sp. z o.o.,</w:t>
      </w:r>
    </w:p>
    <w:p w14:paraId="6A7785B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GDDKiA,</w:t>
      </w:r>
    </w:p>
    <w:p w14:paraId="0651BE8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Geis PL Sp. z o.o.,</w:t>
      </w:r>
    </w:p>
    <w:p w14:paraId="090652D4"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52A43B1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Glencore Polska Sp. z o.o.,</w:t>
      </w:r>
    </w:p>
    <w:p w14:paraId="017B1A4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6AAAD4A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36ABF3F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Grupa Azoty Zakłady Azotowe „Puławy” S.A.,</w:t>
      </w:r>
    </w:p>
    <w:p w14:paraId="7DBC0B7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3211F82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Grupa Topex Sp. z o.o.,</w:t>
      </w:r>
    </w:p>
    <w:p w14:paraId="7668E08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307A9361"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Grupa Lotos S.A., </w:t>
      </w:r>
    </w:p>
    <w:p w14:paraId="6974BF49" w14:textId="77777777" w:rsidR="00356C13" w:rsidRPr="002B668A" w:rsidRDefault="00356C13" w:rsidP="00356C13">
      <w:pPr>
        <w:pStyle w:val="Tekstpodstawowy2"/>
        <w:ind w:left="284"/>
        <w:rPr>
          <w:rFonts w:ascii="Calibri" w:hAnsi="Calibri"/>
          <w:i/>
          <w:iCs/>
          <w:sz w:val="12"/>
          <w:szCs w:val="12"/>
        </w:rPr>
      </w:pPr>
    </w:p>
    <w:p w14:paraId="3EDB459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7D086A5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Hamilton Sundstrand Poland Sp. z o.o.,</w:t>
      </w:r>
    </w:p>
    <w:p w14:paraId="46E3B0CB"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28022FE4"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76F416F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0D22EDF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Homanit Polska Sp. z o.o. Sp. k.,</w:t>
      </w:r>
    </w:p>
    <w:p w14:paraId="100FA83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Huta Zawiercie S.A., </w:t>
      </w:r>
    </w:p>
    <w:p w14:paraId="43B457F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Huta Pokój S.A., </w:t>
      </w:r>
    </w:p>
    <w:p w14:paraId="78A045DF"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37A5685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5FA15E1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Hutchinson Poland Sp. z o.o.,</w:t>
      </w:r>
    </w:p>
    <w:p w14:paraId="4CA2D1C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Igepa Polska Sp. z o.o,.</w:t>
      </w:r>
    </w:p>
    <w:p w14:paraId="1D566EB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ILS Sp. z o.o.,</w:t>
      </w:r>
    </w:p>
    <w:p w14:paraId="17E2883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IMPEL S.A.,</w:t>
      </w:r>
    </w:p>
    <w:p w14:paraId="6890C47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INCO-VERITAS S.A., </w:t>
      </w:r>
    </w:p>
    <w:p w14:paraId="14CD768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International Paper-Kwidzyn Sp. z o.o.,</w:t>
      </w:r>
    </w:p>
    <w:p w14:paraId="2947D69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IMPRESS DECOR POLSKA Sp. z o.o.,</w:t>
      </w:r>
    </w:p>
    <w:p w14:paraId="4400C47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INTERPRINT Polska Sp. z o.o.,</w:t>
      </w:r>
    </w:p>
    <w:p w14:paraId="6C7CC524"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09A3E8B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JTI Polska Sp. z o.o., </w:t>
      </w:r>
    </w:p>
    <w:p w14:paraId="7023B16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KABAT TYRE Sp. z o.o. sp.j., </w:t>
      </w:r>
    </w:p>
    <w:p w14:paraId="2458F4F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KAN Sp. z o.o., </w:t>
      </w:r>
    </w:p>
    <w:p w14:paraId="03B96A3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Keller Polska Sp. z o.o.,</w:t>
      </w:r>
    </w:p>
    <w:p w14:paraId="7B2D71D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KENO Sp. z o.o.,</w:t>
      </w:r>
    </w:p>
    <w:p w14:paraId="19750A1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Kerry Polska Sp. z o.o.,  </w:t>
      </w:r>
    </w:p>
    <w:p w14:paraId="3A11DF9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Kompania Piwowarska S.A., </w:t>
      </w:r>
    </w:p>
    <w:p w14:paraId="5ABC652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Kongskilde Polska Sp. z o.o.,</w:t>
      </w:r>
    </w:p>
    <w:p w14:paraId="088137D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60485FE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Korporacja KGL S.A.,</w:t>
      </w:r>
    </w:p>
    <w:p w14:paraId="5393826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Kurita Polska Sp. z o.o.,</w:t>
      </w:r>
    </w:p>
    <w:p w14:paraId="5CFF45D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Lagardere Travel Retail Sp. z o.o.,</w:t>
      </w:r>
    </w:p>
    <w:p w14:paraId="48275CC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Lublindis Sp. z o.o.,</w:t>
      </w:r>
    </w:p>
    <w:p w14:paraId="291F8BC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Leica Geosystems Sp. z o.o.,</w:t>
      </w:r>
    </w:p>
    <w:p w14:paraId="3A40FA7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69D5D6DC"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4BA0AD22"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6E1ECAD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MA Polska S.A. Tychy Zakład w Kielcach</w:t>
      </w:r>
    </w:p>
    <w:p w14:paraId="2E57891F"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6F3431F7"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406DCA6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Maersk Polska Sp. z o.o., </w:t>
      </w:r>
    </w:p>
    <w:p w14:paraId="4EFB1DB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Marsh Sp. z o.o., </w:t>
      </w:r>
    </w:p>
    <w:p w14:paraId="12B10F0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Merck Sp. z o.o., </w:t>
      </w:r>
    </w:p>
    <w:p w14:paraId="2D9AC6A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Metalpol Węgierska Górka Sp. z o.o.,</w:t>
      </w:r>
    </w:p>
    <w:p w14:paraId="25C2D9B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MFO S.A.,</w:t>
      </w:r>
    </w:p>
    <w:p w14:paraId="3F27296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ML Sp. z o.o.,</w:t>
      </w:r>
    </w:p>
    <w:p w14:paraId="5C6C522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Mondi Świecie S.A.,</w:t>
      </w:r>
    </w:p>
    <w:p w14:paraId="42984DB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Monosuisse Sp. z o.o.,</w:t>
      </w:r>
    </w:p>
    <w:p w14:paraId="67E9BA5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Multiprojekt Automatyka sp. z o.o.,</w:t>
      </w:r>
    </w:p>
    <w:p w14:paraId="0C9DC40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1B759A55"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Neapco Europe Sp. z o.o.,</w:t>
      </w:r>
    </w:p>
    <w:p w14:paraId="09AE704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Nestle Polska S.A.,</w:t>
      </w:r>
    </w:p>
    <w:p w14:paraId="0416B6A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NOVOL Sp. z o.o., </w:t>
      </w:r>
    </w:p>
    <w:p w14:paraId="766AE4F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Opel Polska Sp. z o.o., </w:t>
      </w:r>
    </w:p>
    <w:p w14:paraId="7DDF851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0301B2C7"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733433AA"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34AEE38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ORLEN Paliwa Sp. z o.o.,</w:t>
      </w:r>
    </w:p>
    <w:p w14:paraId="345B18F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25D8B52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PCC Rokita S.A., </w:t>
      </w:r>
    </w:p>
    <w:p w14:paraId="05AAB70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P.H. Alfa-Elektro Sp. z o.o.,  </w:t>
      </w:r>
    </w:p>
    <w:p w14:paraId="013CEFFA"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19CEE82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31AD82C1"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687DEFE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Pepco Poland sp. z o.o.,</w:t>
      </w:r>
    </w:p>
    <w:p w14:paraId="4268710E"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PERN S.A.,</w:t>
      </w:r>
    </w:p>
    <w:p w14:paraId="3BC5EDD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PKN Orlen S.A.,</w:t>
      </w:r>
    </w:p>
    <w:p w14:paraId="334337F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34C5C74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227BE25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POCH S.A.,</w:t>
      </w:r>
    </w:p>
    <w:p w14:paraId="05A7DA4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136CF2F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Polargos Sp. z o.o., </w:t>
      </w:r>
    </w:p>
    <w:p w14:paraId="55B1B12A"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1CE68462"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52715B3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Polmlek Sp. z o.o.,</w:t>
      </w:r>
    </w:p>
    <w:p w14:paraId="61C484D3"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4B286F9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694CCA24"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Polska Spółka Gazownictwa sp. z o.o.,</w:t>
      </w:r>
    </w:p>
    <w:p w14:paraId="41F3B752"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Polychem Systems Sp. z o.o.,</w:t>
      </w:r>
    </w:p>
    <w:p w14:paraId="3DCCA26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PORTA KMI Poland Sp. z o.o.,</w:t>
      </w:r>
    </w:p>
    <w:p w14:paraId="6E7E11B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POZ-BRUK Sp. z o.o. Sp. J. </w:t>
      </w:r>
    </w:p>
    <w:p w14:paraId="7579A4D0"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56B4C6F5" w14:textId="77777777" w:rsidR="00356C13" w:rsidRPr="002B668A" w:rsidRDefault="00356C13" w:rsidP="00356C13">
      <w:pPr>
        <w:pStyle w:val="Tekstpodstawowy2"/>
        <w:ind w:left="284"/>
        <w:rPr>
          <w:rFonts w:ascii="Calibri" w:hAnsi="Calibri"/>
          <w:i/>
          <w:iCs/>
          <w:sz w:val="12"/>
          <w:szCs w:val="12"/>
        </w:rPr>
      </w:pPr>
    </w:p>
    <w:p w14:paraId="7041878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PMO  „KOMEX” Sp. z o.o., </w:t>
      </w:r>
    </w:p>
    <w:p w14:paraId="1CF9672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PP „Porty Lotnicze”, </w:t>
      </w:r>
    </w:p>
    <w:p w14:paraId="26F697F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PFLEIDERER GRAJEWO S.A., </w:t>
      </w:r>
    </w:p>
    <w:p w14:paraId="5D2F8D1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PFLEIDERER PROSPAN S.A.,</w:t>
      </w:r>
    </w:p>
    <w:p w14:paraId="04442FA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PIT-RADWAR S.A., </w:t>
      </w:r>
    </w:p>
    <w:p w14:paraId="46E3F487" w14:textId="77777777" w:rsidR="00356C13" w:rsidRPr="00967580"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3228ABF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967580">
        <w:rPr>
          <w:rFonts w:ascii="Calibri" w:hAnsi="Calibri"/>
          <w:i/>
          <w:iCs/>
          <w:sz w:val="12"/>
          <w:szCs w:val="12"/>
        </w:rPr>
        <w:t>Randstad Polska Sp. z o.o.</w:t>
      </w:r>
    </w:p>
    <w:p w14:paraId="5D5B1E0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REJS Sp. z o.o., </w:t>
      </w:r>
    </w:p>
    <w:p w14:paraId="0B9B6B2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Rhenus Logistics S.A., </w:t>
      </w:r>
    </w:p>
    <w:p w14:paraId="6469852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Remontowa Hydraulic Systems Sp. z o.o.,</w:t>
      </w:r>
    </w:p>
    <w:p w14:paraId="3F2579BD"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Robert Bosch Sp. z o.o., </w:t>
      </w:r>
    </w:p>
    <w:p w14:paraId="1BBC225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Ronal Polska Sp. z o.o., </w:t>
      </w:r>
    </w:p>
    <w:p w14:paraId="1B7D9BC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Ryłko Sp. z o.o.,</w:t>
      </w:r>
    </w:p>
    <w:p w14:paraId="3CCCE72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1BCD5555"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2F4F694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Saint-Gobain HPM Polska Sp. z o.o.,</w:t>
      </w:r>
    </w:p>
    <w:p w14:paraId="1485D87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SaMASZ Sp. z o.o., </w:t>
      </w:r>
    </w:p>
    <w:p w14:paraId="6DCE8F7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Sanitec Koło Sp. z o.o.,</w:t>
      </w:r>
    </w:p>
    <w:p w14:paraId="2861DB1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4D1DB5C6"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07D3594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5214C54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Siemens Sp. z o.o.,</w:t>
      </w:r>
    </w:p>
    <w:p w14:paraId="01E1B98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Skandius Sp. z o.o.,</w:t>
      </w:r>
    </w:p>
    <w:p w14:paraId="4B97E788"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1D9A24AD"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3D7DCA47" w14:textId="77777777" w:rsidR="00356C13"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1DC5DFEF" w14:textId="77777777" w:rsidR="00356C13" w:rsidRPr="002C385E" w:rsidRDefault="00356C13" w:rsidP="00356C13">
      <w:pPr>
        <w:pStyle w:val="Tekstpodstawowy2"/>
        <w:numPr>
          <w:ilvl w:val="0"/>
          <w:numId w:val="7"/>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4B2C9B01"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Spedimex Sp. z o.o., </w:t>
      </w:r>
    </w:p>
    <w:p w14:paraId="094364A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STOMIL S.A.,</w:t>
      </w:r>
    </w:p>
    <w:p w14:paraId="79786A92"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1B9D6D6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Südzucker Polska S.A.,</w:t>
      </w:r>
    </w:p>
    <w:p w14:paraId="017C01B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Sünkel Śruby Sp. z o.o.,</w:t>
      </w:r>
    </w:p>
    <w:p w14:paraId="0D595F8F"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SUN GARDEN POLSKA Sp. z o.o. sp.k.,</w:t>
      </w:r>
    </w:p>
    <w:p w14:paraId="38B3A14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5E3F0C33"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33C3FC2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TEMPO TP Sp. z o.o. Sp.k.,</w:t>
      </w:r>
    </w:p>
    <w:p w14:paraId="00AD7F8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Thegra Poland  Sp. z o.o.,</w:t>
      </w:r>
    </w:p>
    <w:p w14:paraId="1B00F35F"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TI Poland Sp. z o.o.,</w:t>
      </w:r>
    </w:p>
    <w:p w14:paraId="0E853AE3"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TORPOL S.A.,</w:t>
      </w:r>
    </w:p>
    <w:p w14:paraId="2830DE5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TOTAL Polska Sp. z o.o.,</w:t>
      </w:r>
    </w:p>
    <w:p w14:paraId="75CF40FA"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2AFCBF4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TOYA S.A.,</w:t>
      </w:r>
    </w:p>
    <w:p w14:paraId="3D43D49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Toyota Tsusho Europe S.A., </w:t>
      </w:r>
    </w:p>
    <w:p w14:paraId="6E3FD37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219F521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Tramwaje Warszawskie Sp. z o.o.,</w:t>
      </w:r>
    </w:p>
    <w:p w14:paraId="781C430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Transcargo sp. z o.o.,</w:t>
      </w:r>
    </w:p>
    <w:p w14:paraId="6F44FA4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TRW Polska Sp. z o.o.,</w:t>
      </w:r>
    </w:p>
    <w:p w14:paraId="4442443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TUiR Warta S.A.,</w:t>
      </w:r>
    </w:p>
    <w:p w14:paraId="3D40DF4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TUnŻ Warta S.A., </w:t>
      </w:r>
    </w:p>
    <w:p w14:paraId="7CC1AD8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TZMO S.A.,</w:t>
      </w:r>
    </w:p>
    <w:p w14:paraId="2D2C24D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118DF026"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Valvex S.A.,</w:t>
      </w:r>
    </w:p>
    <w:p w14:paraId="0D42A37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Vesuvius Poland Sp. z o.o.</w:t>
      </w:r>
    </w:p>
    <w:p w14:paraId="5085046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Vetro Sp. z o.o.,</w:t>
      </w:r>
    </w:p>
    <w:p w14:paraId="1A0617BE"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76C99C5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VOLVO Polska Sp. z o.o.,</w:t>
      </w:r>
    </w:p>
    <w:p w14:paraId="2F7F2738"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WAMA AB,</w:t>
      </w:r>
    </w:p>
    <w:p w14:paraId="3C106DFB" w14:textId="77777777" w:rsidR="00356C13" w:rsidRPr="002B668A" w:rsidRDefault="00356C13" w:rsidP="00356C13">
      <w:pPr>
        <w:pStyle w:val="Tekstpodstawowy2"/>
        <w:numPr>
          <w:ilvl w:val="0"/>
          <w:numId w:val="7"/>
        </w:numPr>
        <w:ind w:left="284" w:hanging="284"/>
        <w:rPr>
          <w:rFonts w:ascii="Calibri" w:hAnsi="Calibri"/>
          <w:i/>
          <w:iCs/>
          <w:sz w:val="12"/>
          <w:szCs w:val="12"/>
        </w:rPr>
      </w:pPr>
      <w:r>
        <w:rPr>
          <w:rFonts w:ascii="Calibri" w:hAnsi="Calibri"/>
          <w:i/>
          <w:iCs/>
          <w:sz w:val="12"/>
          <w:szCs w:val="12"/>
        </w:rPr>
        <w:t>WAVIN Polska S.A.,</w:t>
      </w:r>
    </w:p>
    <w:p w14:paraId="5D57F97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WEN s.c.,</w:t>
      </w:r>
    </w:p>
    <w:p w14:paraId="130A4EC8" w14:textId="77777777" w:rsidR="00356C13" w:rsidRPr="002B668A" w:rsidRDefault="00356C13" w:rsidP="00356C13">
      <w:pPr>
        <w:pStyle w:val="Tekstpodstawowy2"/>
        <w:numPr>
          <w:ilvl w:val="0"/>
          <w:numId w:val="7"/>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0D7D0E80"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11A1EEB0"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0C4E938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Wrigley Poland Sp. z o.o., </w:t>
      </w:r>
    </w:p>
    <w:p w14:paraId="3D7E87B9"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3A298A57"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Wojskowe Zakłady Lotnicze Nr 2 S.A.,</w:t>
      </w:r>
    </w:p>
    <w:p w14:paraId="66AD060B"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WPT Polska Sp. z o.o. Sp. k., </w:t>
      </w:r>
    </w:p>
    <w:p w14:paraId="16CDB70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6CF44C81" w14:textId="77777777" w:rsidR="00356C13" w:rsidRPr="002B668A" w:rsidRDefault="00356C13" w:rsidP="00356C13">
      <w:pPr>
        <w:pStyle w:val="Tekstpodstawowy2"/>
        <w:numPr>
          <w:ilvl w:val="0"/>
          <w:numId w:val="7"/>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7327E872"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VESUVIUS Poland Sp. z o.o.,</w:t>
      </w:r>
    </w:p>
    <w:p w14:paraId="5D0D59B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Yara Poland Sp. z o.o.,</w:t>
      </w:r>
    </w:p>
    <w:p w14:paraId="6437CEDE"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Zakłady Aparatury Chemicznej Chemet S.A.,</w:t>
      </w:r>
    </w:p>
    <w:p w14:paraId="4C08117C"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Zakłady Farmaceutyczne Polpharma S.A.,</w:t>
      </w:r>
    </w:p>
    <w:p w14:paraId="6C939F08"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Zakłady Produkcji Cukierniczej Vobro,</w:t>
      </w:r>
    </w:p>
    <w:p w14:paraId="7648DFB4"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64BAE883" w14:textId="77777777" w:rsidR="00356C13" w:rsidRPr="002B668A"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ZENTIS POLSKA Sp. z o.o.</w:t>
      </w:r>
    </w:p>
    <w:p w14:paraId="7176C79F" w14:textId="77777777" w:rsidR="00356C13" w:rsidRDefault="00356C13" w:rsidP="00356C13">
      <w:pPr>
        <w:pStyle w:val="Tekstpodstawowy2"/>
        <w:numPr>
          <w:ilvl w:val="0"/>
          <w:numId w:val="7"/>
        </w:numPr>
        <w:ind w:left="284" w:hanging="284"/>
        <w:rPr>
          <w:rFonts w:ascii="Calibri" w:hAnsi="Calibri"/>
          <w:i/>
          <w:iCs/>
          <w:sz w:val="12"/>
          <w:szCs w:val="12"/>
        </w:rPr>
      </w:pPr>
      <w:r w:rsidRPr="002B668A">
        <w:rPr>
          <w:rFonts w:ascii="Calibri" w:hAnsi="Calibri"/>
          <w:i/>
          <w:iCs/>
          <w:sz w:val="12"/>
          <w:szCs w:val="12"/>
        </w:rPr>
        <w:t>ZMG Sp. z o.o.</w:t>
      </w:r>
    </w:p>
    <w:p w14:paraId="2B012ACD" w14:textId="77777777" w:rsidR="00697FAC" w:rsidRDefault="00697FAC" w:rsidP="00697FAC">
      <w:pPr>
        <w:pStyle w:val="Tekstpodstawowy2"/>
        <w:rPr>
          <w:rFonts w:ascii="Calibri" w:hAnsi="Calibri"/>
          <w:i/>
          <w:iCs/>
          <w:sz w:val="12"/>
          <w:szCs w:val="12"/>
        </w:rPr>
      </w:pPr>
    </w:p>
    <w:p w14:paraId="67BB7046" w14:textId="77777777" w:rsidR="00697FAC" w:rsidRDefault="00697FAC" w:rsidP="00697FAC">
      <w:pPr>
        <w:pStyle w:val="Tekstpodstawowy2"/>
        <w:rPr>
          <w:rFonts w:ascii="Calibri" w:hAnsi="Calibri"/>
          <w:i/>
          <w:iCs/>
          <w:sz w:val="12"/>
          <w:szCs w:val="12"/>
        </w:rPr>
      </w:pPr>
    </w:p>
    <w:p w14:paraId="52C8D504" w14:textId="77777777" w:rsidR="00697FAC" w:rsidRDefault="00697FAC" w:rsidP="00697FAC">
      <w:pPr>
        <w:pStyle w:val="Tekstpodstawowy2"/>
        <w:rPr>
          <w:rFonts w:ascii="Calibri" w:hAnsi="Calibri"/>
          <w:i/>
          <w:iCs/>
          <w:sz w:val="12"/>
          <w:szCs w:val="12"/>
        </w:rPr>
      </w:pPr>
    </w:p>
    <w:p w14:paraId="1D593A4B" w14:textId="77777777" w:rsidR="00697FAC" w:rsidRDefault="00697FAC" w:rsidP="00697FAC">
      <w:pPr>
        <w:pStyle w:val="Tekstpodstawowy2"/>
        <w:rPr>
          <w:rFonts w:ascii="Calibri" w:hAnsi="Calibri"/>
          <w:i/>
          <w:iCs/>
          <w:sz w:val="12"/>
          <w:szCs w:val="12"/>
        </w:rPr>
      </w:pPr>
    </w:p>
    <w:p w14:paraId="274B60AA" w14:textId="2EFABE02" w:rsidR="00EF75C5" w:rsidRDefault="00EF75C5" w:rsidP="00EF75C5">
      <w:pPr>
        <w:shd w:val="clear" w:color="auto" w:fill="FFFFFF" w:themeFill="background1"/>
        <w:rPr>
          <w:rFonts w:ascii="Calibri" w:hAnsi="Calibri"/>
          <w:b/>
          <w:color w:val="FFFFFF"/>
          <w:sz w:val="20"/>
          <w:szCs w:val="20"/>
        </w:rPr>
        <w:sectPr w:rsidR="00EF75C5" w:rsidSect="00A63912">
          <w:type w:val="continuous"/>
          <w:pgSz w:w="11906" w:h="16838" w:code="9"/>
          <w:pgMar w:top="680" w:right="567" w:bottom="680" w:left="567" w:header="567" w:footer="624" w:gutter="0"/>
          <w:pgNumType w:start="1"/>
          <w:cols w:num="3" w:space="284"/>
          <w:docGrid w:linePitch="212"/>
        </w:sectPr>
      </w:pPr>
    </w:p>
    <w:p w14:paraId="135E2E16" w14:textId="2B9E108C" w:rsidR="005C72B0" w:rsidRPr="00CA7EA1" w:rsidRDefault="005C72B0" w:rsidP="00615593">
      <w:pPr>
        <w:pStyle w:val="Tekstpodstawowy2"/>
        <w:numPr>
          <w:ilvl w:val="0"/>
          <w:numId w:val="7"/>
        </w:numPr>
        <w:ind w:left="284" w:hanging="284"/>
        <w:rPr>
          <w:rFonts w:ascii="Calibri" w:hAnsi="Calibri"/>
          <w:i/>
          <w:iCs/>
          <w:sz w:val="14"/>
          <w:szCs w:val="14"/>
        </w:rPr>
        <w:sectPr w:rsidR="005C72B0" w:rsidRPr="00CA7EA1" w:rsidSect="00A63912">
          <w:type w:val="continuous"/>
          <w:pgSz w:w="11906" w:h="16838" w:code="9"/>
          <w:pgMar w:top="680" w:right="567" w:bottom="680" w:left="567" w:header="567" w:footer="624" w:gutter="0"/>
          <w:pgNumType w:start="1"/>
          <w:cols w:num="3" w:space="284"/>
          <w:docGrid w:linePitch="212"/>
        </w:sectPr>
      </w:pPr>
    </w:p>
    <w:p w14:paraId="64451095" w14:textId="77777777" w:rsidR="003907A1" w:rsidRDefault="003907A1" w:rsidP="005C72B0">
      <w:pPr>
        <w:pStyle w:val="Tekstpodstawowy2"/>
        <w:rPr>
          <w:rFonts w:ascii="Calibri" w:hAnsi="Calibri"/>
          <w:i/>
          <w:iCs/>
          <w:sz w:val="15"/>
          <w:szCs w:val="15"/>
        </w:rPr>
        <w:sectPr w:rsidR="003907A1" w:rsidSect="00A63912">
          <w:type w:val="continuous"/>
          <w:pgSz w:w="11906" w:h="16838" w:code="9"/>
          <w:pgMar w:top="680" w:right="567" w:bottom="680" w:left="567" w:header="567" w:footer="624" w:gutter="0"/>
          <w:pgNumType w:start="1"/>
          <w:cols w:space="284"/>
          <w:docGrid w:linePitch="212"/>
        </w:sectPr>
      </w:pPr>
    </w:p>
    <w:tbl>
      <w:tblPr>
        <w:tblW w:w="10719" w:type="dxa"/>
        <w:tblInd w:w="70" w:type="dxa"/>
        <w:shd w:val="clear" w:color="auto" w:fill="008080"/>
        <w:tblCellMar>
          <w:left w:w="70" w:type="dxa"/>
          <w:right w:w="70" w:type="dxa"/>
        </w:tblCellMar>
        <w:tblLook w:val="0000" w:firstRow="0" w:lastRow="0" w:firstColumn="0" w:lastColumn="0" w:noHBand="0" w:noVBand="0"/>
      </w:tblPr>
      <w:tblGrid>
        <w:gridCol w:w="1694"/>
        <w:gridCol w:w="2331"/>
        <w:gridCol w:w="2333"/>
        <w:gridCol w:w="4344"/>
        <w:gridCol w:w="17"/>
      </w:tblGrid>
      <w:tr w:rsidR="00C66560" w14:paraId="006A178C" w14:textId="77777777" w:rsidTr="00DE29D8">
        <w:trPr>
          <w:gridAfter w:val="1"/>
          <w:wAfter w:w="17" w:type="dxa"/>
          <w:cantSplit/>
          <w:trHeight w:val="354"/>
        </w:trPr>
        <w:tc>
          <w:tcPr>
            <w:tcW w:w="10702" w:type="dxa"/>
            <w:gridSpan w:val="4"/>
            <w:shd w:val="clear" w:color="auto" w:fill="003399"/>
            <w:vAlign w:val="center"/>
          </w:tcPr>
          <w:p w14:paraId="778690B3" w14:textId="77777777" w:rsidR="00C66560" w:rsidRPr="00BE5877" w:rsidRDefault="00C66560" w:rsidP="005C72B0">
            <w:pPr>
              <w:pStyle w:val="Tekstpodstawowy3"/>
              <w:rPr>
                <w:rFonts w:ascii="Calibri" w:hAnsi="Calibri"/>
                <w:b w:val="0"/>
                <w:color w:val="FFFFFF"/>
                <w:sz w:val="26"/>
                <w:szCs w:val="26"/>
              </w:rPr>
            </w:pPr>
            <w:r w:rsidRPr="00F0276C">
              <w:rPr>
                <w:rFonts w:ascii="Calibri" w:hAnsi="Calibri"/>
                <w:color w:val="FFFFFF"/>
                <w:sz w:val="26"/>
                <w:szCs w:val="26"/>
              </w:rPr>
              <w:lastRenderedPageBreak/>
              <w:t xml:space="preserve">INFORMACJE ORGANIZACYJNE: </w:t>
            </w:r>
            <w:r w:rsidRPr="00F0276C">
              <w:rPr>
                <w:rFonts w:ascii="Calibri" w:hAnsi="Calibri"/>
                <w:color w:val="FFFFFF"/>
                <w:sz w:val="26"/>
                <w:szCs w:val="26"/>
              </w:rPr>
              <w:sym w:font="Wingdings" w:char="0028"/>
            </w:r>
            <w:r w:rsidR="00F0276C" w:rsidRPr="00F0276C">
              <w:rPr>
                <w:rFonts w:ascii="Calibri" w:hAnsi="Calibri"/>
                <w:color w:val="FFFFFF"/>
                <w:sz w:val="26"/>
                <w:szCs w:val="26"/>
              </w:rPr>
              <w:t xml:space="preserve"> 853 35 23</w:t>
            </w:r>
            <w:r w:rsidR="003B13BE">
              <w:rPr>
                <w:rFonts w:ascii="Calibri" w:hAnsi="Calibri"/>
                <w:color w:val="FFFFFF"/>
                <w:sz w:val="26"/>
                <w:szCs w:val="26"/>
              </w:rPr>
              <w:t>, 607 573 053</w:t>
            </w:r>
            <w:r w:rsidR="00F0276C">
              <w:rPr>
                <w:rFonts w:ascii="Calibri" w:hAnsi="Calibri"/>
                <w:color w:val="FFFFFF"/>
                <w:sz w:val="26"/>
                <w:szCs w:val="26"/>
              </w:rPr>
              <w:t xml:space="preserve"> </w:t>
            </w:r>
            <w:r w:rsidRPr="00F0276C">
              <w:rPr>
                <w:rFonts w:ascii="Calibri" w:hAnsi="Calibri"/>
                <w:color w:val="FFFFFF"/>
                <w:sz w:val="26"/>
                <w:szCs w:val="26"/>
              </w:rPr>
              <w:sym w:font="Wingdings" w:char="F02B"/>
            </w:r>
            <w:r w:rsidRPr="00F0276C">
              <w:rPr>
                <w:rFonts w:ascii="Calibri" w:hAnsi="Calibri"/>
                <w:color w:val="FFFFFF"/>
                <w:sz w:val="26"/>
                <w:szCs w:val="26"/>
              </w:rPr>
              <w:t xml:space="preserve"> atl@atl.edu.pl  </w:t>
            </w:r>
            <w:r w:rsidRPr="00F0276C">
              <w:rPr>
                <w:rFonts w:ascii="Calibri" w:hAnsi="Calibri"/>
                <w:color w:val="FFFFFF"/>
                <w:sz w:val="26"/>
                <w:szCs w:val="26"/>
              </w:rPr>
              <w:sym w:font="Wingdings" w:char="F03A"/>
            </w:r>
            <w:r w:rsidRPr="00F0276C">
              <w:rPr>
                <w:rFonts w:ascii="Calibri" w:hAnsi="Calibri"/>
                <w:color w:val="FFFFFF"/>
                <w:sz w:val="26"/>
                <w:szCs w:val="26"/>
              </w:rPr>
              <w:t xml:space="preserve"> www.atl.edu.pl</w:t>
            </w:r>
          </w:p>
        </w:tc>
      </w:tr>
      <w:tr w:rsidR="00DE29D8" w:rsidRPr="00B62B12" w14:paraId="11E7A843" w14:textId="77777777" w:rsidTr="00DE29D8">
        <w:tblPrEx>
          <w:tblBorders>
            <w:top w:val="single" w:sz="4" w:space="0" w:color="auto"/>
            <w:bottom w:val="single" w:sz="4" w:space="0" w:color="auto"/>
          </w:tblBorders>
          <w:shd w:val="clear" w:color="auto" w:fill="auto"/>
        </w:tblPrEx>
        <w:trPr>
          <w:trHeight w:val="818"/>
        </w:trPr>
        <w:tc>
          <w:tcPr>
            <w:tcW w:w="10719" w:type="dxa"/>
            <w:gridSpan w:val="5"/>
            <w:tcBorders>
              <w:top w:val="single" w:sz="4" w:space="0" w:color="auto"/>
              <w:left w:val="nil"/>
              <w:bottom w:val="single" w:sz="4" w:space="0" w:color="auto"/>
              <w:right w:val="nil"/>
            </w:tcBorders>
            <w:shd w:val="clear" w:color="auto" w:fill="F2F2F2" w:themeFill="background1" w:themeFillShade="F2"/>
            <w:vAlign w:val="center"/>
          </w:tcPr>
          <w:p w14:paraId="69D5D1B8" w14:textId="77777777" w:rsidR="00DE29D8" w:rsidRPr="001E1762" w:rsidRDefault="00DE29D8" w:rsidP="00CC173A">
            <w:pPr>
              <w:spacing w:before="240" w:after="120"/>
              <w:ind w:left="360"/>
              <w:jc w:val="center"/>
              <w:rPr>
                <w:rFonts w:asciiTheme="minorHAnsi" w:hAnsiTheme="minorHAnsi" w:cstheme="minorHAnsi"/>
                <w:b/>
                <w:bCs/>
                <w:color w:val="000000"/>
                <w:szCs w:val="20"/>
              </w:rPr>
            </w:pPr>
            <w:r w:rsidRPr="001E1762">
              <w:rPr>
                <w:rFonts w:asciiTheme="minorHAnsi" w:hAnsiTheme="minorHAnsi" w:cstheme="minorHAnsi"/>
                <w:b/>
                <w:bCs/>
                <w:color w:val="000000"/>
                <w:szCs w:val="20"/>
              </w:rPr>
              <w:t>SZKOLENIA ONLINE:</w:t>
            </w:r>
          </w:p>
          <w:p w14:paraId="4ADB7CC0" w14:textId="77777777" w:rsidR="00DE29D8" w:rsidRPr="00121F4D" w:rsidRDefault="00DE29D8" w:rsidP="00497FDA">
            <w:pPr>
              <w:pStyle w:val="Akapitzlist"/>
              <w:numPr>
                <w:ilvl w:val="0"/>
                <w:numId w:val="21"/>
              </w:numPr>
              <w:spacing w:before="12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614DA3B8" w14:textId="77777777" w:rsidR="00DE29D8" w:rsidRPr="00121F4D" w:rsidRDefault="00DE29D8" w:rsidP="00497FDA">
            <w:pPr>
              <w:pStyle w:val="Akapitzlist"/>
              <w:numPr>
                <w:ilvl w:val="0"/>
                <w:numId w:val="21"/>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 xml:space="preserve">Minimalne wymagania sprzętowe - laptop/komputer PC, MAC z najnowszą wersją przeglądarek internetowych (Chrome, Edge, Firefox), podstawowa kamera internetowa i mikrofon, dostęp do sieci Internet. </w:t>
            </w:r>
          </w:p>
          <w:p w14:paraId="7A8EBF1A" w14:textId="77777777" w:rsidR="00DE29D8" w:rsidRPr="00121F4D" w:rsidRDefault="00DE29D8" w:rsidP="00497FDA">
            <w:pPr>
              <w:pStyle w:val="Akapitzlist"/>
              <w:numPr>
                <w:ilvl w:val="0"/>
                <w:numId w:val="21"/>
              </w:numPr>
              <w:spacing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514652E9" w14:textId="66CBC1D6" w:rsidR="00DE29D8" w:rsidRPr="00AF3398" w:rsidRDefault="00DE29D8" w:rsidP="00D6186A">
            <w:pPr>
              <w:pStyle w:val="Akapitzlist"/>
              <w:numPr>
                <w:ilvl w:val="0"/>
                <w:numId w:val="21"/>
              </w:numPr>
              <w:spacing w:after="240" w:line="276" w:lineRule="auto"/>
              <w:ind w:left="714" w:hanging="357"/>
              <w:rPr>
                <w:rFonts w:asciiTheme="minorHAnsi" w:hAnsiTheme="minorHAnsi" w:cstheme="minorHAnsi"/>
                <w:color w:val="000000"/>
                <w:sz w:val="18"/>
                <w:szCs w:val="18"/>
              </w:rPr>
            </w:pPr>
            <w:r w:rsidRPr="00121F4D">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356C13">
              <w:rPr>
                <w:rFonts w:asciiTheme="minorHAnsi" w:hAnsiTheme="minorHAnsi" w:cstheme="minorHAnsi"/>
                <w:color w:val="000000"/>
                <w:sz w:val="18"/>
                <w:szCs w:val="18"/>
              </w:rPr>
              <w:t>, MS Teams.</w:t>
            </w:r>
          </w:p>
        </w:tc>
      </w:tr>
      <w:tr w:rsidR="00DE29D8" w:rsidRPr="00B62B12" w14:paraId="449B365D" w14:textId="77777777" w:rsidTr="00DE29D8">
        <w:tblPrEx>
          <w:tblBorders>
            <w:top w:val="single" w:sz="4" w:space="0" w:color="auto"/>
            <w:bottom w:val="single" w:sz="4" w:space="0" w:color="auto"/>
          </w:tblBorders>
          <w:shd w:val="clear" w:color="auto" w:fill="auto"/>
        </w:tblPrEx>
        <w:trPr>
          <w:trHeight w:val="818"/>
        </w:trPr>
        <w:tc>
          <w:tcPr>
            <w:tcW w:w="1694" w:type="dxa"/>
            <w:tcBorders>
              <w:top w:val="single" w:sz="4" w:space="0" w:color="auto"/>
              <w:left w:val="nil"/>
              <w:bottom w:val="single" w:sz="4" w:space="0" w:color="auto"/>
              <w:right w:val="single" w:sz="4" w:space="0" w:color="auto"/>
            </w:tcBorders>
            <w:shd w:val="clear" w:color="auto" w:fill="990033"/>
            <w:vAlign w:val="center"/>
          </w:tcPr>
          <w:p w14:paraId="7F2ED03A" w14:textId="77777777" w:rsidR="00DE29D8" w:rsidRPr="00B62B12" w:rsidRDefault="00DE29D8" w:rsidP="00CC173A">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31" w:type="dxa"/>
            <w:tcBorders>
              <w:top w:val="single" w:sz="4" w:space="0" w:color="auto"/>
              <w:left w:val="single" w:sz="4" w:space="0" w:color="auto"/>
              <w:bottom w:val="single" w:sz="4" w:space="0" w:color="auto"/>
              <w:right w:val="single" w:sz="4" w:space="0" w:color="auto"/>
            </w:tcBorders>
            <w:shd w:val="clear" w:color="auto" w:fill="990033"/>
            <w:vAlign w:val="center"/>
          </w:tcPr>
          <w:p w14:paraId="41F7429F" w14:textId="77777777" w:rsidR="00DE29D8" w:rsidRPr="00B62B12" w:rsidRDefault="00DE29D8" w:rsidP="00CC173A">
            <w:pPr>
              <w:ind w:right="23"/>
              <w:jc w:val="center"/>
              <w:rPr>
                <w:rFonts w:ascii="Calibri" w:hAnsi="Calibri"/>
                <w:b/>
                <w:iCs/>
                <w:sz w:val="18"/>
                <w:szCs w:val="18"/>
              </w:rPr>
            </w:pPr>
            <w:r w:rsidRPr="00B62B12">
              <w:rPr>
                <w:rFonts w:ascii="Calibri" w:hAnsi="Calibri"/>
                <w:b/>
                <w:iCs/>
                <w:sz w:val="18"/>
                <w:szCs w:val="18"/>
              </w:rPr>
              <w:t xml:space="preserve">TERMINY SZKOLENIA </w:t>
            </w:r>
          </w:p>
          <w:p w14:paraId="45C3A9D9" w14:textId="77777777" w:rsidR="00DE29D8" w:rsidRPr="00B62B12" w:rsidRDefault="00DE29D8" w:rsidP="00CC173A">
            <w:pPr>
              <w:ind w:right="23"/>
              <w:jc w:val="center"/>
              <w:rPr>
                <w:rFonts w:ascii="Calibri" w:hAnsi="Calibri"/>
                <w:b/>
                <w:iCs/>
                <w:sz w:val="18"/>
                <w:szCs w:val="18"/>
              </w:rPr>
            </w:pPr>
            <w:r w:rsidRPr="00B62B12">
              <w:rPr>
                <w:rFonts w:ascii="Calibri" w:hAnsi="Calibri"/>
                <w:b/>
                <w:iCs/>
                <w:sz w:val="18"/>
                <w:szCs w:val="18"/>
              </w:rPr>
              <w:t>ON-LINE</w:t>
            </w:r>
          </w:p>
        </w:tc>
        <w:tc>
          <w:tcPr>
            <w:tcW w:w="2333" w:type="dxa"/>
            <w:tcBorders>
              <w:top w:val="single" w:sz="4" w:space="0" w:color="auto"/>
              <w:left w:val="single" w:sz="4" w:space="0" w:color="auto"/>
              <w:bottom w:val="single" w:sz="4" w:space="0" w:color="auto"/>
              <w:right w:val="single" w:sz="4" w:space="0" w:color="auto"/>
            </w:tcBorders>
            <w:shd w:val="clear" w:color="auto" w:fill="990033"/>
            <w:vAlign w:val="center"/>
          </w:tcPr>
          <w:p w14:paraId="7E57CCBC" w14:textId="77777777" w:rsidR="00DE29D8" w:rsidRPr="00B62B12" w:rsidRDefault="00DE29D8" w:rsidP="00CC173A">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09563F83" w14:textId="77777777" w:rsidR="00DE29D8" w:rsidRPr="00B62B12" w:rsidRDefault="00DE29D8" w:rsidP="00CC173A">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61" w:type="dxa"/>
            <w:gridSpan w:val="2"/>
            <w:tcBorders>
              <w:top w:val="single" w:sz="4" w:space="0" w:color="auto"/>
              <w:left w:val="single" w:sz="4" w:space="0" w:color="auto"/>
              <w:bottom w:val="single" w:sz="4" w:space="0" w:color="auto"/>
              <w:right w:val="nil"/>
            </w:tcBorders>
            <w:shd w:val="clear" w:color="auto" w:fill="990033"/>
            <w:vAlign w:val="center"/>
          </w:tcPr>
          <w:p w14:paraId="4CCF37C4" w14:textId="77777777" w:rsidR="00DE29D8" w:rsidRPr="00B62B12" w:rsidRDefault="00DE29D8" w:rsidP="00CC173A">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DE29D8" w:rsidRPr="00B62B12" w14:paraId="54F9349C" w14:textId="77777777" w:rsidTr="00DE29D8">
        <w:tblPrEx>
          <w:tblBorders>
            <w:top w:val="single" w:sz="4" w:space="0" w:color="auto"/>
            <w:bottom w:val="single" w:sz="4" w:space="0" w:color="auto"/>
          </w:tblBorders>
          <w:shd w:val="clear" w:color="auto" w:fill="auto"/>
        </w:tblPrEx>
        <w:trPr>
          <w:trHeight w:val="1902"/>
        </w:trPr>
        <w:tc>
          <w:tcPr>
            <w:tcW w:w="169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18177A9" w14:textId="77777777" w:rsidR="00DE29D8" w:rsidRPr="004234B8" w:rsidRDefault="00DE29D8" w:rsidP="00CC173A">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2ED85B1F" w14:textId="77777777" w:rsidR="00DE29D8" w:rsidRPr="00B62B12" w:rsidRDefault="00DE29D8" w:rsidP="00CC173A">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3D2C8E1A" w14:textId="77777777" w:rsidR="00DE29D8" w:rsidRPr="00B62B12" w:rsidRDefault="00DE29D8" w:rsidP="00CC173A">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3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B95A22" w14:textId="683E692B" w:rsidR="0025772D" w:rsidRDefault="0025772D" w:rsidP="008455B8">
            <w:pPr>
              <w:spacing w:line="360" w:lineRule="auto"/>
              <w:jc w:val="center"/>
              <w:rPr>
                <w:rFonts w:asciiTheme="minorHAnsi" w:hAnsiTheme="minorHAnsi"/>
                <w:sz w:val="20"/>
                <w:szCs w:val="20"/>
              </w:rPr>
            </w:pPr>
            <w:r w:rsidRPr="0025772D">
              <w:rPr>
                <w:rFonts w:asciiTheme="minorHAnsi" w:hAnsiTheme="minorHAnsi"/>
                <w:sz w:val="20"/>
                <w:szCs w:val="20"/>
              </w:rPr>
              <w:t>04.06.2024</w:t>
            </w:r>
          </w:p>
          <w:p w14:paraId="7EC8B6F2" w14:textId="66F39573" w:rsidR="008455B8" w:rsidRPr="008455B8" w:rsidRDefault="008455B8" w:rsidP="008455B8">
            <w:pPr>
              <w:spacing w:line="360" w:lineRule="auto"/>
              <w:jc w:val="center"/>
              <w:rPr>
                <w:rFonts w:asciiTheme="minorHAnsi" w:hAnsiTheme="minorHAnsi"/>
                <w:sz w:val="20"/>
                <w:szCs w:val="20"/>
              </w:rPr>
            </w:pPr>
            <w:r w:rsidRPr="008455B8">
              <w:rPr>
                <w:rFonts w:asciiTheme="minorHAnsi" w:hAnsiTheme="minorHAnsi"/>
                <w:sz w:val="20"/>
                <w:szCs w:val="20"/>
              </w:rPr>
              <w:t>09.10.2024</w:t>
            </w:r>
          </w:p>
          <w:p w14:paraId="677058FC" w14:textId="751F7080" w:rsidR="008455B8" w:rsidRPr="00657E1B" w:rsidRDefault="008455B8" w:rsidP="008455B8">
            <w:pPr>
              <w:spacing w:line="360" w:lineRule="auto"/>
              <w:jc w:val="center"/>
              <w:rPr>
                <w:rFonts w:asciiTheme="minorHAnsi" w:hAnsiTheme="minorHAnsi"/>
                <w:sz w:val="20"/>
                <w:szCs w:val="20"/>
              </w:rPr>
            </w:pPr>
            <w:r w:rsidRPr="008455B8">
              <w:rPr>
                <w:rFonts w:asciiTheme="minorHAnsi" w:hAnsiTheme="minorHAnsi"/>
                <w:sz w:val="20"/>
                <w:szCs w:val="20"/>
              </w:rPr>
              <w:t>11.12.2024</w:t>
            </w:r>
          </w:p>
        </w:tc>
        <w:tc>
          <w:tcPr>
            <w:tcW w:w="23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FEA293" w14:textId="40AAC4BF" w:rsidR="0025772D" w:rsidRDefault="0025772D" w:rsidP="002A4537">
            <w:pPr>
              <w:tabs>
                <w:tab w:val="left" w:pos="1477"/>
                <w:tab w:val="left" w:pos="10912"/>
              </w:tabs>
              <w:spacing w:line="360" w:lineRule="auto"/>
              <w:jc w:val="center"/>
              <w:rPr>
                <w:rFonts w:ascii="Calibri" w:hAnsi="Calibri"/>
                <w:bCs/>
                <w:sz w:val="20"/>
                <w:szCs w:val="20"/>
              </w:rPr>
            </w:pPr>
            <w:r>
              <w:rPr>
                <w:rFonts w:ascii="Calibri" w:hAnsi="Calibri"/>
                <w:bCs/>
                <w:sz w:val="20"/>
                <w:szCs w:val="20"/>
              </w:rPr>
              <w:t>28.05.2024</w:t>
            </w:r>
          </w:p>
          <w:p w14:paraId="45A0F204" w14:textId="3D55788E" w:rsidR="00D6186A" w:rsidRDefault="00DF0012" w:rsidP="002A4537">
            <w:pPr>
              <w:tabs>
                <w:tab w:val="left" w:pos="1477"/>
                <w:tab w:val="left" w:pos="10912"/>
              </w:tabs>
              <w:spacing w:line="360" w:lineRule="auto"/>
              <w:jc w:val="center"/>
              <w:rPr>
                <w:rFonts w:ascii="Calibri" w:hAnsi="Calibri"/>
                <w:bCs/>
                <w:sz w:val="20"/>
                <w:szCs w:val="20"/>
              </w:rPr>
            </w:pPr>
            <w:r>
              <w:rPr>
                <w:rFonts w:ascii="Calibri" w:hAnsi="Calibri"/>
                <w:bCs/>
                <w:sz w:val="20"/>
                <w:szCs w:val="20"/>
              </w:rPr>
              <w:t>0</w:t>
            </w:r>
            <w:r w:rsidR="008455B8">
              <w:rPr>
                <w:rFonts w:ascii="Calibri" w:hAnsi="Calibri"/>
                <w:bCs/>
                <w:sz w:val="20"/>
                <w:szCs w:val="20"/>
              </w:rPr>
              <w:t>2</w:t>
            </w:r>
            <w:r w:rsidR="00D6186A">
              <w:rPr>
                <w:rFonts w:ascii="Calibri" w:hAnsi="Calibri"/>
                <w:bCs/>
                <w:sz w:val="20"/>
                <w:szCs w:val="20"/>
              </w:rPr>
              <w:t>.</w:t>
            </w:r>
            <w:r w:rsidR="008455B8">
              <w:rPr>
                <w:rFonts w:ascii="Calibri" w:hAnsi="Calibri"/>
                <w:bCs/>
                <w:sz w:val="20"/>
                <w:szCs w:val="20"/>
              </w:rPr>
              <w:t>10</w:t>
            </w:r>
            <w:r w:rsidR="00D6186A">
              <w:rPr>
                <w:rFonts w:ascii="Calibri" w:hAnsi="Calibri"/>
                <w:bCs/>
                <w:sz w:val="20"/>
                <w:szCs w:val="20"/>
              </w:rPr>
              <w:t>.2024</w:t>
            </w:r>
          </w:p>
          <w:p w14:paraId="59F7AE9C" w14:textId="35E4C759" w:rsidR="008455B8" w:rsidRPr="00B62B12" w:rsidRDefault="008455B8" w:rsidP="002A4537">
            <w:pPr>
              <w:tabs>
                <w:tab w:val="left" w:pos="1477"/>
                <w:tab w:val="left" w:pos="10912"/>
              </w:tabs>
              <w:spacing w:line="360" w:lineRule="auto"/>
              <w:jc w:val="center"/>
              <w:rPr>
                <w:rFonts w:ascii="Calibri" w:hAnsi="Calibri"/>
                <w:bCs/>
                <w:sz w:val="20"/>
                <w:szCs w:val="20"/>
              </w:rPr>
            </w:pPr>
            <w:r>
              <w:rPr>
                <w:rFonts w:ascii="Calibri" w:hAnsi="Calibri"/>
                <w:bCs/>
                <w:sz w:val="20"/>
                <w:szCs w:val="20"/>
              </w:rPr>
              <w:t>04.12.2024</w:t>
            </w:r>
          </w:p>
        </w:tc>
        <w:tc>
          <w:tcPr>
            <w:tcW w:w="4361" w:type="dxa"/>
            <w:gridSpan w:val="2"/>
            <w:tcBorders>
              <w:top w:val="single" w:sz="4" w:space="0" w:color="auto"/>
              <w:left w:val="single" w:sz="4" w:space="0" w:color="auto"/>
              <w:bottom w:val="single" w:sz="4" w:space="0" w:color="auto"/>
              <w:right w:val="nil"/>
            </w:tcBorders>
            <w:shd w:val="clear" w:color="auto" w:fill="F2DBDB" w:themeFill="accent2" w:themeFillTint="33"/>
            <w:vAlign w:val="center"/>
          </w:tcPr>
          <w:p w14:paraId="0DF27F6D" w14:textId="0BE78869" w:rsidR="00DE29D8" w:rsidRPr="00AF4968" w:rsidRDefault="00DE29D8" w:rsidP="00CC173A">
            <w:pPr>
              <w:tabs>
                <w:tab w:val="left" w:pos="1477"/>
                <w:tab w:val="left" w:pos="10912"/>
              </w:tabs>
              <w:jc w:val="center"/>
              <w:rPr>
                <w:rFonts w:ascii="Calibri" w:hAnsi="Calibri"/>
                <w:b/>
                <w:bCs/>
                <w:sz w:val="16"/>
                <w:szCs w:val="16"/>
              </w:rPr>
            </w:pPr>
            <w:r w:rsidRPr="00AF4968">
              <w:rPr>
                <w:rFonts w:ascii="Calibri" w:hAnsi="Calibri"/>
                <w:b/>
                <w:bCs/>
                <w:sz w:val="16"/>
                <w:szCs w:val="16"/>
              </w:rPr>
              <w:t xml:space="preserve">Szkolenie odbywa się w czasie rzeczywistym                    </w:t>
            </w:r>
            <w:r>
              <w:rPr>
                <w:rFonts w:ascii="Calibri" w:hAnsi="Calibri"/>
                <w:b/>
                <w:bCs/>
                <w:sz w:val="16"/>
                <w:szCs w:val="16"/>
              </w:rPr>
              <w:t xml:space="preserve">                       </w:t>
            </w:r>
            <w:r w:rsidRPr="00AF4968">
              <w:rPr>
                <w:rFonts w:ascii="Calibri" w:hAnsi="Calibri"/>
                <w:b/>
                <w:bCs/>
                <w:sz w:val="16"/>
                <w:szCs w:val="16"/>
              </w:rPr>
              <w:t>na platformie online Zoom Meetings.</w:t>
            </w:r>
          </w:p>
          <w:p w14:paraId="2B0F2987" w14:textId="77777777" w:rsidR="00DE29D8" w:rsidRPr="00AF4968" w:rsidRDefault="00DE29D8" w:rsidP="00CC173A">
            <w:pPr>
              <w:numPr>
                <w:ilvl w:val="0"/>
                <w:numId w:val="15"/>
              </w:numPr>
              <w:spacing w:before="120"/>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09:50 – 10:00 Logowanie do platformy</w:t>
            </w:r>
          </w:p>
          <w:p w14:paraId="7FB8EAF8" w14:textId="77777777" w:rsidR="00DE29D8" w:rsidRPr="00AF4968" w:rsidRDefault="00DE29D8" w:rsidP="00CC173A">
            <w:pPr>
              <w:numPr>
                <w:ilvl w:val="0"/>
                <w:numId w:val="15"/>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10:00 – 13:00 Zajęcia część I</w:t>
            </w:r>
          </w:p>
          <w:p w14:paraId="741B1E82" w14:textId="77777777" w:rsidR="00DE29D8" w:rsidRPr="00AF4968" w:rsidRDefault="00DE29D8" w:rsidP="00CC173A">
            <w:pPr>
              <w:numPr>
                <w:ilvl w:val="0"/>
                <w:numId w:val="15"/>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13:00 – 14:00 przerwa na lunch</w:t>
            </w:r>
          </w:p>
          <w:p w14:paraId="4F6E4927" w14:textId="77777777" w:rsidR="00DE29D8" w:rsidRPr="00AF4968" w:rsidRDefault="00DE29D8" w:rsidP="00CC173A">
            <w:pPr>
              <w:numPr>
                <w:ilvl w:val="0"/>
                <w:numId w:val="15"/>
              </w:numPr>
              <w:rPr>
                <w:rFonts w:ascii="Calibri" w:eastAsiaTheme="minorHAnsi" w:hAnsi="Calibri" w:cstheme="minorBidi"/>
                <w:sz w:val="18"/>
                <w:szCs w:val="18"/>
                <w:lang w:eastAsia="en-US"/>
              </w:rPr>
            </w:pPr>
            <w:r w:rsidRPr="00AF4968">
              <w:rPr>
                <w:rFonts w:ascii="Calibri" w:eastAsiaTheme="minorHAnsi" w:hAnsi="Calibri" w:cstheme="minorBidi"/>
                <w:sz w:val="18"/>
                <w:szCs w:val="18"/>
                <w:lang w:eastAsia="en-US"/>
              </w:rPr>
              <w:t>14:00 – 16:00 Zajęcia część II</w:t>
            </w:r>
          </w:p>
        </w:tc>
      </w:tr>
    </w:tbl>
    <w:p w14:paraId="77641D89" w14:textId="4AE76A1B" w:rsidR="00DE29D8" w:rsidRPr="00B62B12" w:rsidRDefault="00DE29D8" w:rsidP="00DE29D8">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356C13">
        <w:rPr>
          <w:rFonts w:ascii="Calibri" w:hAnsi="Calibri"/>
          <w:b/>
          <w:color w:val="A50021"/>
          <w:sz w:val="20"/>
          <w:szCs w:val="20"/>
        </w:rPr>
        <w:t>8</w:t>
      </w:r>
      <w:r w:rsidR="002505F5">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56CDFAF1" w14:textId="77777777" w:rsidR="00DE29D8" w:rsidRDefault="00DE29D8" w:rsidP="00DE29D8">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3720D83A" w14:textId="332F467A" w:rsidR="00DE29D8" w:rsidRPr="003674BB" w:rsidRDefault="00DE29D8" w:rsidP="00D6186A">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356C13">
        <w:rPr>
          <w:rFonts w:ascii="Calibri" w:hAnsi="Calibri"/>
          <w:b/>
          <w:sz w:val="20"/>
          <w:szCs w:val="20"/>
        </w:rPr>
        <w:t>9</w:t>
      </w:r>
      <w:r w:rsidR="002505F5">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40DEC2FE" w14:textId="02A8F64B" w:rsidR="00D6186A" w:rsidRPr="00577E71" w:rsidRDefault="00D6186A" w:rsidP="00D6186A">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3CEB50A2" w14:textId="77777777" w:rsidR="00D6186A" w:rsidRDefault="00D6186A" w:rsidP="00D6186A">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Pr>
          <w:rFonts w:ascii="Calibri" w:hAnsi="Calibri"/>
          <w:bCs/>
          <w:sz w:val="20"/>
        </w:rPr>
        <w:t>.</w:t>
      </w:r>
    </w:p>
    <w:p w14:paraId="2A811FD5" w14:textId="77777777" w:rsidR="00D6186A" w:rsidRPr="00E174E9" w:rsidRDefault="00D6186A" w:rsidP="00D6186A">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D6186A" w:rsidRPr="00134382" w14:paraId="7E2816C9" w14:textId="77777777" w:rsidTr="00825F33">
        <w:trPr>
          <w:trHeight w:val="754"/>
          <w:jc w:val="center"/>
        </w:trPr>
        <w:tc>
          <w:tcPr>
            <w:tcW w:w="1717" w:type="dxa"/>
            <w:tcBorders>
              <w:top w:val="single" w:sz="2" w:space="0" w:color="auto"/>
              <w:bottom w:val="single" w:sz="4" w:space="0" w:color="auto"/>
            </w:tcBorders>
            <w:shd w:val="clear" w:color="auto" w:fill="666699"/>
            <w:vAlign w:val="center"/>
          </w:tcPr>
          <w:p w14:paraId="36AF0512" w14:textId="77777777" w:rsidR="00D6186A" w:rsidRPr="00F024BF" w:rsidRDefault="00D6186A" w:rsidP="00825F33">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tcBorders>
              <w:top w:val="single" w:sz="2" w:space="0" w:color="auto"/>
              <w:bottom w:val="single" w:sz="4" w:space="0" w:color="auto"/>
            </w:tcBorders>
            <w:shd w:val="clear" w:color="auto" w:fill="008080"/>
            <w:vAlign w:val="center"/>
          </w:tcPr>
          <w:p w14:paraId="73626372" w14:textId="77777777" w:rsidR="00D6186A" w:rsidRPr="00F024BF" w:rsidRDefault="00D6186A" w:rsidP="00825F33">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tcBorders>
              <w:top w:val="single" w:sz="2" w:space="0" w:color="auto"/>
              <w:bottom w:val="single" w:sz="4" w:space="0" w:color="auto"/>
            </w:tcBorders>
            <w:shd w:val="clear" w:color="auto" w:fill="3366CC"/>
            <w:vAlign w:val="center"/>
          </w:tcPr>
          <w:p w14:paraId="208DF970" w14:textId="77777777" w:rsidR="00D6186A" w:rsidRPr="00F024BF" w:rsidRDefault="00D6186A" w:rsidP="00825F33">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tcBorders>
              <w:top w:val="single" w:sz="2" w:space="0" w:color="auto"/>
              <w:bottom w:val="single" w:sz="4" w:space="0" w:color="auto"/>
            </w:tcBorders>
            <w:shd w:val="clear" w:color="auto" w:fill="666699"/>
            <w:vAlign w:val="center"/>
          </w:tcPr>
          <w:p w14:paraId="01A6FC42" w14:textId="77777777" w:rsidR="00D6186A" w:rsidRPr="00F024BF" w:rsidRDefault="00D6186A" w:rsidP="00825F33">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D6186A" w:rsidRPr="00134382" w14:paraId="0323D25B" w14:textId="77777777" w:rsidTr="00E11ABE">
        <w:trPr>
          <w:trHeight w:val="1463"/>
          <w:jc w:val="center"/>
        </w:trPr>
        <w:tc>
          <w:tcPr>
            <w:tcW w:w="1717" w:type="dxa"/>
            <w:tcBorders>
              <w:bottom w:val="single" w:sz="4" w:space="0" w:color="auto"/>
            </w:tcBorders>
            <w:shd w:val="clear" w:color="auto" w:fill="FFFFFF" w:themeFill="background1"/>
            <w:vAlign w:val="center"/>
          </w:tcPr>
          <w:p w14:paraId="62FF20AB" w14:textId="77777777" w:rsidR="00D6186A" w:rsidRDefault="00D6186A" w:rsidP="00825F33">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tcBorders>
              <w:bottom w:val="single" w:sz="4" w:space="0" w:color="auto"/>
            </w:tcBorders>
            <w:shd w:val="clear" w:color="auto" w:fill="FFFFFF" w:themeFill="background1"/>
            <w:vAlign w:val="center"/>
          </w:tcPr>
          <w:p w14:paraId="2BF45F8D" w14:textId="77777777" w:rsidR="00E11ABE" w:rsidRPr="00E11ABE" w:rsidRDefault="00E11ABE" w:rsidP="00E11ABE">
            <w:pPr>
              <w:spacing w:line="360" w:lineRule="auto"/>
              <w:jc w:val="center"/>
              <w:rPr>
                <w:rFonts w:asciiTheme="minorHAnsi" w:hAnsiTheme="minorHAnsi"/>
                <w:sz w:val="20"/>
                <w:szCs w:val="20"/>
              </w:rPr>
            </w:pPr>
            <w:r w:rsidRPr="00E11ABE">
              <w:rPr>
                <w:rFonts w:asciiTheme="minorHAnsi" w:hAnsiTheme="minorHAnsi"/>
                <w:sz w:val="20"/>
                <w:szCs w:val="20"/>
              </w:rPr>
              <w:t>03.06.2024</w:t>
            </w:r>
          </w:p>
          <w:p w14:paraId="59026DCD" w14:textId="77777777" w:rsidR="00E11ABE" w:rsidRPr="00E11ABE" w:rsidRDefault="00E11ABE" w:rsidP="00E11ABE">
            <w:pPr>
              <w:spacing w:line="360" w:lineRule="auto"/>
              <w:jc w:val="center"/>
              <w:rPr>
                <w:rFonts w:asciiTheme="minorHAnsi" w:hAnsiTheme="minorHAnsi"/>
                <w:sz w:val="20"/>
                <w:szCs w:val="20"/>
              </w:rPr>
            </w:pPr>
            <w:r w:rsidRPr="00E11ABE">
              <w:rPr>
                <w:rFonts w:asciiTheme="minorHAnsi" w:hAnsiTheme="minorHAnsi"/>
                <w:sz w:val="20"/>
                <w:szCs w:val="20"/>
              </w:rPr>
              <w:t>07.10.2024</w:t>
            </w:r>
          </w:p>
          <w:p w14:paraId="3250DC3F" w14:textId="4D3B398C" w:rsidR="00E11ABE" w:rsidRPr="00D73A38" w:rsidRDefault="00E11ABE" w:rsidP="00E11ABE">
            <w:pPr>
              <w:spacing w:line="360" w:lineRule="auto"/>
              <w:jc w:val="center"/>
              <w:rPr>
                <w:rFonts w:asciiTheme="minorHAnsi" w:hAnsiTheme="minorHAnsi"/>
                <w:sz w:val="20"/>
                <w:szCs w:val="20"/>
              </w:rPr>
            </w:pPr>
            <w:r w:rsidRPr="00E11ABE">
              <w:rPr>
                <w:rFonts w:asciiTheme="minorHAnsi" w:hAnsiTheme="minorHAnsi"/>
                <w:sz w:val="20"/>
                <w:szCs w:val="20"/>
              </w:rPr>
              <w:t>09.12.2024</w:t>
            </w:r>
          </w:p>
        </w:tc>
        <w:tc>
          <w:tcPr>
            <w:tcW w:w="2618" w:type="dxa"/>
            <w:tcBorders>
              <w:bottom w:val="single" w:sz="4" w:space="0" w:color="auto"/>
            </w:tcBorders>
            <w:shd w:val="clear" w:color="auto" w:fill="FFFFFF" w:themeFill="background1"/>
            <w:vAlign w:val="center"/>
          </w:tcPr>
          <w:p w14:paraId="77D58519" w14:textId="77777777" w:rsidR="00D6186A" w:rsidRDefault="00E11ABE" w:rsidP="00CD6C11">
            <w:pPr>
              <w:tabs>
                <w:tab w:val="left" w:pos="1477"/>
                <w:tab w:val="left" w:pos="10912"/>
              </w:tabs>
              <w:spacing w:line="360" w:lineRule="auto"/>
              <w:jc w:val="center"/>
              <w:rPr>
                <w:rFonts w:ascii="Calibri" w:hAnsi="Calibri"/>
                <w:bCs/>
                <w:sz w:val="20"/>
                <w:szCs w:val="20"/>
              </w:rPr>
            </w:pPr>
            <w:r>
              <w:rPr>
                <w:rFonts w:ascii="Calibri" w:hAnsi="Calibri"/>
                <w:bCs/>
                <w:sz w:val="20"/>
                <w:szCs w:val="20"/>
              </w:rPr>
              <w:t>24</w:t>
            </w:r>
            <w:r w:rsidR="00D6186A">
              <w:rPr>
                <w:rFonts w:ascii="Calibri" w:hAnsi="Calibri"/>
                <w:bCs/>
                <w:sz w:val="20"/>
                <w:szCs w:val="20"/>
              </w:rPr>
              <w:t>.0</w:t>
            </w:r>
            <w:r>
              <w:rPr>
                <w:rFonts w:ascii="Calibri" w:hAnsi="Calibri"/>
                <w:bCs/>
                <w:sz w:val="20"/>
                <w:szCs w:val="20"/>
              </w:rPr>
              <w:t>5</w:t>
            </w:r>
            <w:r w:rsidR="00D6186A">
              <w:rPr>
                <w:rFonts w:ascii="Calibri" w:hAnsi="Calibri"/>
                <w:bCs/>
                <w:sz w:val="20"/>
                <w:szCs w:val="20"/>
              </w:rPr>
              <w:t>.2024</w:t>
            </w:r>
          </w:p>
          <w:p w14:paraId="42433AE3" w14:textId="77777777" w:rsidR="00E11ABE" w:rsidRDefault="00E11ABE" w:rsidP="00CD6C11">
            <w:pPr>
              <w:tabs>
                <w:tab w:val="left" w:pos="1477"/>
                <w:tab w:val="left" w:pos="10912"/>
              </w:tabs>
              <w:spacing w:line="360" w:lineRule="auto"/>
              <w:jc w:val="center"/>
              <w:rPr>
                <w:rFonts w:ascii="Calibri" w:hAnsi="Calibri"/>
                <w:bCs/>
                <w:sz w:val="20"/>
                <w:szCs w:val="20"/>
              </w:rPr>
            </w:pPr>
            <w:r>
              <w:rPr>
                <w:rFonts w:ascii="Calibri" w:hAnsi="Calibri"/>
                <w:bCs/>
                <w:sz w:val="20"/>
                <w:szCs w:val="20"/>
              </w:rPr>
              <w:t>27.09.2024</w:t>
            </w:r>
          </w:p>
          <w:p w14:paraId="3355DCD2" w14:textId="0277505F" w:rsidR="00E11ABE" w:rsidRPr="00D73A38" w:rsidRDefault="00E11ABE" w:rsidP="00CD6C11">
            <w:pPr>
              <w:tabs>
                <w:tab w:val="left" w:pos="1477"/>
                <w:tab w:val="left" w:pos="10912"/>
              </w:tabs>
              <w:spacing w:line="360" w:lineRule="auto"/>
              <w:jc w:val="center"/>
              <w:rPr>
                <w:rFonts w:ascii="Calibri" w:hAnsi="Calibri"/>
                <w:bCs/>
                <w:sz w:val="20"/>
                <w:szCs w:val="20"/>
              </w:rPr>
            </w:pPr>
            <w:r>
              <w:rPr>
                <w:rFonts w:ascii="Calibri" w:hAnsi="Calibri"/>
                <w:bCs/>
                <w:sz w:val="20"/>
                <w:szCs w:val="20"/>
              </w:rPr>
              <w:t>29.11.2024</w:t>
            </w:r>
          </w:p>
        </w:tc>
        <w:tc>
          <w:tcPr>
            <w:tcW w:w="4419" w:type="dxa"/>
            <w:tcBorders>
              <w:bottom w:val="single" w:sz="4" w:space="0" w:color="auto"/>
            </w:tcBorders>
            <w:shd w:val="clear" w:color="auto" w:fill="FFFFFF" w:themeFill="background1"/>
            <w:vAlign w:val="center"/>
          </w:tcPr>
          <w:p w14:paraId="0005433A" w14:textId="77777777" w:rsidR="00D6186A" w:rsidRPr="008B239E" w:rsidRDefault="00D6186A" w:rsidP="00825F33">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64F0C0DD" w14:textId="77777777" w:rsidR="00D6186A" w:rsidRPr="008B239E" w:rsidRDefault="00D6186A" w:rsidP="00825F33">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104995E6" w14:textId="77777777" w:rsidR="00D6186A" w:rsidRPr="00656DAD" w:rsidRDefault="00D6186A" w:rsidP="00D6186A">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Pr>
          <w:rFonts w:ascii="Calibri" w:hAnsi="Calibri"/>
          <w:b/>
          <w:color w:val="A50021"/>
          <w:sz w:val="20"/>
          <w:szCs w:val="20"/>
        </w:rPr>
        <w:t>1160</w:t>
      </w:r>
      <w:r w:rsidRPr="00656DAD">
        <w:rPr>
          <w:rFonts w:ascii="Calibri" w:hAnsi="Calibri"/>
          <w:b/>
          <w:color w:val="A50021"/>
          <w:sz w:val="20"/>
          <w:szCs w:val="20"/>
        </w:rPr>
        <w:t xml:space="preserve"> zł. netto + 23% VAT i obejmuje: </w:t>
      </w:r>
    </w:p>
    <w:p w14:paraId="72084BCE" w14:textId="77777777" w:rsidR="00D6186A" w:rsidRDefault="00D6186A" w:rsidP="00D6186A">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435117F8" w14:textId="77777777" w:rsidR="00D6186A" w:rsidRDefault="00D6186A" w:rsidP="00D6186A">
      <w:pPr>
        <w:rPr>
          <w:rFonts w:ascii="Calibri" w:hAnsi="Calibri"/>
          <w:b/>
          <w:sz w:val="20"/>
          <w:szCs w:val="20"/>
        </w:rPr>
      </w:pPr>
      <w:r w:rsidRPr="00656DAD">
        <w:rPr>
          <w:rFonts w:ascii="Calibri" w:hAnsi="Calibri"/>
          <w:b/>
          <w:sz w:val="20"/>
          <w:szCs w:val="20"/>
        </w:rPr>
        <w:t xml:space="preserve">Cena po okresie promocji: </w:t>
      </w:r>
      <w:r>
        <w:rPr>
          <w:rFonts w:ascii="Calibri" w:hAnsi="Calibri"/>
          <w:b/>
          <w:sz w:val="20"/>
          <w:szCs w:val="20"/>
        </w:rPr>
        <w:t>1260</w:t>
      </w:r>
      <w:r w:rsidRPr="00656DAD">
        <w:rPr>
          <w:rFonts w:ascii="Calibri" w:hAnsi="Calibri"/>
          <w:b/>
          <w:sz w:val="20"/>
          <w:szCs w:val="20"/>
        </w:rPr>
        <w:t xml:space="preserve"> + 23% VAT.</w:t>
      </w:r>
    </w:p>
    <w:p w14:paraId="6FB0268D" w14:textId="191161EF" w:rsidR="00795077" w:rsidRDefault="00795077">
      <w:pPr>
        <w:rPr>
          <w:rFonts w:ascii="Calibri" w:hAnsi="Calibri"/>
          <w:b/>
          <w:sz w:val="20"/>
          <w:szCs w:val="20"/>
        </w:rPr>
      </w:pPr>
    </w:p>
    <w:p w14:paraId="42886B53" w14:textId="77777777" w:rsidR="00CA06DF" w:rsidRDefault="00CA06DF">
      <w:pPr>
        <w:rPr>
          <w:rFonts w:ascii="Calibri" w:hAnsi="Calibri"/>
          <w:b/>
          <w:sz w:val="20"/>
          <w:szCs w:val="20"/>
        </w:rPr>
      </w:pPr>
    </w:p>
    <w:p w14:paraId="7F83F0B9" w14:textId="77777777" w:rsidR="00CA06DF" w:rsidRDefault="00CA06DF">
      <w:pPr>
        <w:rPr>
          <w:rFonts w:ascii="Calibri" w:hAnsi="Calibri"/>
          <w:b/>
          <w:sz w:val="20"/>
          <w:szCs w:val="20"/>
        </w:rPr>
      </w:pPr>
    </w:p>
    <w:p w14:paraId="1B61901A" w14:textId="77777777" w:rsidR="00CA06DF" w:rsidRDefault="00CA06DF">
      <w:pPr>
        <w:rPr>
          <w:rFonts w:ascii="Calibri" w:hAnsi="Calibri"/>
          <w:b/>
          <w:sz w:val="20"/>
          <w:szCs w:val="20"/>
        </w:rPr>
      </w:pPr>
    </w:p>
    <w:p w14:paraId="61E766E8" w14:textId="77777777" w:rsidR="00CA06DF" w:rsidRDefault="00CA06DF">
      <w:pPr>
        <w:rPr>
          <w:rFonts w:ascii="Calibri" w:hAnsi="Calibri"/>
          <w:b/>
          <w:sz w:val="20"/>
          <w:szCs w:val="20"/>
        </w:rPr>
      </w:pPr>
    </w:p>
    <w:p w14:paraId="5FDCA43F" w14:textId="77777777" w:rsidR="00CA06DF" w:rsidRDefault="00CA06DF">
      <w:pPr>
        <w:rPr>
          <w:rFonts w:ascii="Calibri" w:hAnsi="Calibri"/>
          <w:b/>
          <w:sz w:val="20"/>
          <w:szCs w:val="20"/>
        </w:rPr>
      </w:pPr>
    </w:p>
    <w:p w14:paraId="47C1E967" w14:textId="77777777" w:rsidR="00CA06DF" w:rsidRDefault="00CA06DF">
      <w:pPr>
        <w:rPr>
          <w:rFonts w:ascii="Calibri" w:hAnsi="Calibri"/>
          <w:b/>
          <w:sz w:val="20"/>
          <w:szCs w:val="20"/>
        </w:rPr>
      </w:pPr>
    </w:p>
    <w:p w14:paraId="5D7AB309" w14:textId="292FE599" w:rsidR="001C0E52" w:rsidRPr="00BE5877" w:rsidRDefault="001C0E52" w:rsidP="00A66C24">
      <w:pPr>
        <w:pStyle w:val="Tekstpodstawowy3"/>
        <w:shd w:val="clear" w:color="auto" w:fill="003399"/>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7E0D9F" w:rsidRPr="00C03421">
        <w:rPr>
          <w:rFonts w:ascii="Calibri" w:hAnsi="Calibri"/>
          <w:color w:val="FFFFFF"/>
          <w:sz w:val="25"/>
        </w:rPr>
        <w:t>prosimy o podpisanie i przesłanie skanu na adres: atl@atl.edu.pl</w:t>
      </w:r>
    </w:p>
    <w:p w14:paraId="47333D2E" w14:textId="4D54CD65" w:rsidR="001C0E52" w:rsidRDefault="001C0E52" w:rsidP="004234B8">
      <w:pPr>
        <w:spacing w:before="120"/>
        <w:rPr>
          <w:rFonts w:ascii="Calibri" w:hAnsi="Calibri"/>
          <w:b/>
          <w:bCs/>
          <w:iCs/>
          <w:sz w:val="18"/>
          <w:szCs w:val="18"/>
        </w:rPr>
      </w:pPr>
      <w:r w:rsidRPr="00BC0F5C">
        <w:rPr>
          <w:rFonts w:ascii="Calibri" w:hAnsi="Calibri"/>
          <w:b/>
          <w:sz w:val="18"/>
          <w:szCs w:val="18"/>
        </w:rPr>
        <w:t>Zgłaszamy udział poniższych osób w szkoleniu: „</w:t>
      </w:r>
      <w:r w:rsidR="0016678C">
        <w:rPr>
          <w:rFonts w:ascii="Calibri" w:hAnsi="Calibri"/>
          <w:b/>
          <w:bCs/>
          <w:iCs/>
          <w:sz w:val="18"/>
          <w:szCs w:val="18"/>
        </w:rPr>
        <w:t xml:space="preserve">Akredytywa </w:t>
      </w:r>
      <w:r w:rsidR="000D5052">
        <w:rPr>
          <w:rFonts w:ascii="Calibri" w:hAnsi="Calibri"/>
          <w:b/>
          <w:bCs/>
          <w:iCs/>
          <w:sz w:val="18"/>
          <w:szCs w:val="18"/>
        </w:rPr>
        <w:t>eksportowa – jak przygotować dokumenty, żeby bank zapłacił</w:t>
      </w:r>
      <w:r>
        <w:rPr>
          <w:rFonts w:ascii="Calibri" w:hAnsi="Calibri"/>
          <w:b/>
          <w:bCs/>
          <w:iCs/>
          <w:sz w:val="18"/>
          <w:szCs w:val="18"/>
        </w:rPr>
        <w:t>”</w:t>
      </w:r>
    </w:p>
    <w:p w14:paraId="297A34EE" w14:textId="5EC5FF1B" w:rsidR="007D46C5" w:rsidRDefault="007D46C5" w:rsidP="007D46C5">
      <w:pPr>
        <w:spacing w:before="60"/>
        <w:rPr>
          <w:rFonts w:ascii="Calibri" w:hAnsi="Calibri"/>
          <w:b/>
          <w:sz w:val="18"/>
          <w:szCs w:val="18"/>
        </w:rPr>
      </w:pP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B531BB" w:rsidRPr="00B531BB">
        <w:rPr>
          <w:rFonts w:asciiTheme="minorHAnsi" w:hAnsiTheme="minorHAnsi"/>
          <w:sz w:val="18"/>
          <w:szCs w:val="18"/>
        </w:rPr>
        <w:t xml:space="preserve"> </w:t>
      </w:r>
      <w:r w:rsidR="00CA06DF" w:rsidRPr="00BC0F5C">
        <w:rPr>
          <w:rFonts w:asciiTheme="minorHAnsi" w:hAnsiTheme="minorHAnsi"/>
          <w:sz w:val="18"/>
          <w:szCs w:val="18"/>
        </w:rPr>
        <w:sym w:font="Wingdings" w:char="F0A8"/>
      </w:r>
      <w:r w:rsidR="00CA06DF">
        <w:rPr>
          <w:rFonts w:asciiTheme="minorHAnsi" w:hAnsiTheme="minorHAnsi"/>
          <w:sz w:val="18"/>
          <w:szCs w:val="18"/>
        </w:rPr>
        <w:t xml:space="preserve"> </w:t>
      </w:r>
      <w:r w:rsidR="00CA06DF">
        <w:rPr>
          <w:rFonts w:ascii="Calibri" w:hAnsi="Calibri"/>
          <w:b/>
          <w:bCs/>
          <w:sz w:val="18"/>
          <w:szCs w:val="18"/>
        </w:rPr>
        <w:t>stacjonarnie</w:t>
      </w:r>
      <w:r w:rsidR="00CA06DF" w:rsidRPr="0091017F">
        <w:rPr>
          <w:rFonts w:ascii="Calibri" w:hAnsi="Calibri"/>
          <w:bCs/>
          <w:sz w:val="18"/>
          <w:szCs w:val="18"/>
        </w:rPr>
        <w:t xml:space="preserve"> </w:t>
      </w:r>
      <w:r w:rsidR="00CA06DF">
        <w:rPr>
          <w:rFonts w:ascii="Calibri" w:hAnsi="Calibri"/>
          <w:bCs/>
          <w:sz w:val="18"/>
          <w:szCs w:val="18"/>
        </w:rPr>
        <w:t>(miasto i termin):</w:t>
      </w:r>
      <w:r w:rsidR="00CA06DF">
        <w:rPr>
          <w:rFonts w:ascii="Calibri" w:hAnsi="Calibri"/>
          <w:b/>
          <w:sz w:val="18"/>
          <w:szCs w:val="18"/>
        </w:rPr>
        <w:t>_____________________________________________</w:t>
      </w:r>
    </w:p>
    <w:p w14:paraId="504D593D" w14:textId="77777777" w:rsidR="007D46C5" w:rsidRPr="005C3089" w:rsidRDefault="007D46C5" w:rsidP="004234B8">
      <w:pPr>
        <w:spacing w:before="6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7D46C5" w:rsidRPr="001F3ACF" w14:paraId="26A98819" w14:textId="77777777" w:rsidTr="000D5052">
        <w:trPr>
          <w:trHeight w:hRule="exact" w:val="340"/>
        </w:trPr>
        <w:tc>
          <w:tcPr>
            <w:tcW w:w="426" w:type="dxa"/>
            <w:vAlign w:val="center"/>
          </w:tcPr>
          <w:p w14:paraId="42655DA4" w14:textId="77777777" w:rsidR="007D46C5" w:rsidRPr="00900431" w:rsidRDefault="007D46C5" w:rsidP="000D5052">
            <w:pPr>
              <w:pStyle w:val="Tekstpodstawowy"/>
              <w:spacing w:line="360" w:lineRule="auto"/>
              <w:rPr>
                <w:rFonts w:ascii="Calibri" w:hAnsi="Calibri"/>
                <w:b/>
                <w:sz w:val="20"/>
                <w:szCs w:val="24"/>
              </w:rPr>
            </w:pPr>
          </w:p>
        </w:tc>
        <w:tc>
          <w:tcPr>
            <w:tcW w:w="3825" w:type="dxa"/>
            <w:vAlign w:val="center"/>
          </w:tcPr>
          <w:p w14:paraId="45C6264F" w14:textId="77777777" w:rsidR="007D46C5" w:rsidRPr="00900431" w:rsidRDefault="007D46C5" w:rsidP="000D5052">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5DB87459" w14:textId="77777777" w:rsidR="007D46C5" w:rsidRPr="00900431" w:rsidRDefault="007D46C5" w:rsidP="000D5052">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08545766" w14:textId="77777777" w:rsidR="007D46C5" w:rsidRPr="00900431" w:rsidRDefault="007D46C5" w:rsidP="000D5052">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7D46C5" w:rsidRPr="001F3ACF" w14:paraId="77CB472E" w14:textId="77777777" w:rsidTr="000D5052">
        <w:trPr>
          <w:trHeight w:hRule="exact" w:val="397"/>
        </w:trPr>
        <w:tc>
          <w:tcPr>
            <w:tcW w:w="426" w:type="dxa"/>
          </w:tcPr>
          <w:p w14:paraId="50D6E8B8" w14:textId="77777777" w:rsidR="007D46C5" w:rsidRPr="001F3ACF" w:rsidRDefault="007D46C5" w:rsidP="000D5052">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5FAAB92D" w14:textId="77777777" w:rsidR="007D46C5" w:rsidRPr="001F3ACF" w:rsidRDefault="007D46C5" w:rsidP="000D5052">
            <w:pPr>
              <w:pStyle w:val="Tekstpodstawowy"/>
              <w:spacing w:line="360" w:lineRule="auto"/>
              <w:jc w:val="center"/>
              <w:rPr>
                <w:rFonts w:ascii="Calibri" w:hAnsi="Calibri"/>
                <w:sz w:val="20"/>
                <w:szCs w:val="24"/>
              </w:rPr>
            </w:pPr>
          </w:p>
        </w:tc>
        <w:tc>
          <w:tcPr>
            <w:tcW w:w="3825" w:type="dxa"/>
          </w:tcPr>
          <w:p w14:paraId="338EE77D" w14:textId="77777777" w:rsidR="007D46C5" w:rsidRPr="001F3ACF" w:rsidRDefault="007D46C5" w:rsidP="000D5052">
            <w:pPr>
              <w:pStyle w:val="Tekstpodstawowy"/>
              <w:spacing w:line="360" w:lineRule="auto"/>
              <w:jc w:val="center"/>
              <w:rPr>
                <w:rFonts w:ascii="Calibri" w:hAnsi="Calibri"/>
                <w:sz w:val="20"/>
                <w:szCs w:val="24"/>
              </w:rPr>
            </w:pPr>
          </w:p>
        </w:tc>
        <w:tc>
          <w:tcPr>
            <w:tcW w:w="2728" w:type="dxa"/>
          </w:tcPr>
          <w:p w14:paraId="0C536EB8" w14:textId="77777777" w:rsidR="007D46C5" w:rsidRPr="001F3ACF" w:rsidRDefault="007D46C5" w:rsidP="000D5052">
            <w:pPr>
              <w:pStyle w:val="Tekstpodstawowy"/>
              <w:spacing w:line="360" w:lineRule="auto"/>
              <w:jc w:val="center"/>
              <w:rPr>
                <w:rFonts w:ascii="Calibri" w:hAnsi="Calibri"/>
                <w:sz w:val="20"/>
                <w:szCs w:val="24"/>
              </w:rPr>
            </w:pPr>
          </w:p>
        </w:tc>
      </w:tr>
      <w:tr w:rsidR="007D46C5" w:rsidRPr="001F3ACF" w14:paraId="5BC34605" w14:textId="77777777" w:rsidTr="000D5052">
        <w:trPr>
          <w:trHeight w:hRule="exact" w:val="397"/>
        </w:trPr>
        <w:tc>
          <w:tcPr>
            <w:tcW w:w="426" w:type="dxa"/>
          </w:tcPr>
          <w:p w14:paraId="4C76B4B5" w14:textId="77777777" w:rsidR="007D46C5" w:rsidRPr="001F3ACF" w:rsidRDefault="007D46C5" w:rsidP="000D5052">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00FF6D7B" w14:textId="77777777" w:rsidR="007D46C5" w:rsidRPr="001F3ACF" w:rsidRDefault="007D46C5" w:rsidP="000D5052">
            <w:pPr>
              <w:pStyle w:val="Tekstpodstawowy"/>
              <w:spacing w:line="360" w:lineRule="auto"/>
              <w:jc w:val="center"/>
              <w:rPr>
                <w:rFonts w:ascii="Calibri" w:hAnsi="Calibri"/>
                <w:sz w:val="20"/>
                <w:szCs w:val="24"/>
              </w:rPr>
            </w:pPr>
          </w:p>
        </w:tc>
        <w:tc>
          <w:tcPr>
            <w:tcW w:w="3825" w:type="dxa"/>
          </w:tcPr>
          <w:p w14:paraId="6217C679" w14:textId="77777777" w:rsidR="007D46C5" w:rsidRPr="001F3ACF" w:rsidRDefault="007D46C5" w:rsidP="000D5052">
            <w:pPr>
              <w:pStyle w:val="Tekstpodstawowy"/>
              <w:spacing w:line="360" w:lineRule="auto"/>
              <w:jc w:val="center"/>
              <w:rPr>
                <w:rFonts w:ascii="Calibri" w:hAnsi="Calibri"/>
                <w:sz w:val="20"/>
                <w:szCs w:val="24"/>
              </w:rPr>
            </w:pPr>
          </w:p>
        </w:tc>
        <w:tc>
          <w:tcPr>
            <w:tcW w:w="2728" w:type="dxa"/>
          </w:tcPr>
          <w:p w14:paraId="4525F20A" w14:textId="77777777" w:rsidR="007D46C5" w:rsidRPr="001F3ACF" w:rsidRDefault="007D46C5" w:rsidP="000D5052">
            <w:pPr>
              <w:pStyle w:val="Tekstpodstawowy"/>
              <w:spacing w:line="360" w:lineRule="auto"/>
              <w:jc w:val="center"/>
              <w:rPr>
                <w:rFonts w:ascii="Calibri" w:hAnsi="Calibri"/>
                <w:sz w:val="20"/>
                <w:szCs w:val="24"/>
              </w:rPr>
            </w:pPr>
          </w:p>
        </w:tc>
      </w:tr>
      <w:tr w:rsidR="007D46C5" w:rsidRPr="001F3ACF" w14:paraId="57C794BC" w14:textId="77777777" w:rsidTr="000D5052">
        <w:trPr>
          <w:trHeight w:hRule="exact" w:val="397"/>
        </w:trPr>
        <w:tc>
          <w:tcPr>
            <w:tcW w:w="426" w:type="dxa"/>
          </w:tcPr>
          <w:p w14:paraId="6D62063B" w14:textId="77777777" w:rsidR="007D46C5" w:rsidRPr="001F3ACF" w:rsidRDefault="007D46C5" w:rsidP="000D5052">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6495EC29" w14:textId="77777777" w:rsidR="007D46C5" w:rsidRPr="001F3ACF" w:rsidRDefault="007D46C5" w:rsidP="000D5052">
            <w:pPr>
              <w:pStyle w:val="Tekstpodstawowy"/>
              <w:spacing w:line="360" w:lineRule="auto"/>
              <w:jc w:val="center"/>
              <w:rPr>
                <w:rFonts w:ascii="Calibri" w:hAnsi="Calibri"/>
                <w:sz w:val="20"/>
                <w:szCs w:val="24"/>
              </w:rPr>
            </w:pPr>
          </w:p>
        </w:tc>
        <w:tc>
          <w:tcPr>
            <w:tcW w:w="3825" w:type="dxa"/>
          </w:tcPr>
          <w:p w14:paraId="6691BBEE" w14:textId="77777777" w:rsidR="007D46C5" w:rsidRPr="001F3ACF" w:rsidRDefault="007D46C5" w:rsidP="000D5052">
            <w:pPr>
              <w:pStyle w:val="Tekstpodstawowy"/>
              <w:spacing w:line="360" w:lineRule="auto"/>
              <w:jc w:val="center"/>
              <w:rPr>
                <w:rFonts w:ascii="Calibri" w:hAnsi="Calibri"/>
                <w:sz w:val="20"/>
                <w:szCs w:val="24"/>
              </w:rPr>
            </w:pPr>
          </w:p>
        </w:tc>
        <w:tc>
          <w:tcPr>
            <w:tcW w:w="2728" w:type="dxa"/>
          </w:tcPr>
          <w:p w14:paraId="7FE38DE5" w14:textId="77777777" w:rsidR="007D46C5" w:rsidRPr="001F3ACF" w:rsidRDefault="007D46C5" w:rsidP="000D5052">
            <w:pPr>
              <w:pStyle w:val="Tekstpodstawowy"/>
              <w:spacing w:line="360" w:lineRule="auto"/>
              <w:jc w:val="center"/>
              <w:rPr>
                <w:rFonts w:ascii="Calibri" w:hAnsi="Calibri"/>
                <w:sz w:val="20"/>
                <w:szCs w:val="24"/>
              </w:rPr>
            </w:pPr>
          </w:p>
        </w:tc>
      </w:tr>
      <w:tr w:rsidR="004234B8" w:rsidRPr="001F3ACF" w14:paraId="1D6E34DC" w14:textId="77777777" w:rsidTr="000D5052">
        <w:trPr>
          <w:trHeight w:hRule="exact" w:val="397"/>
        </w:trPr>
        <w:tc>
          <w:tcPr>
            <w:tcW w:w="426" w:type="dxa"/>
          </w:tcPr>
          <w:p w14:paraId="6DC87578" w14:textId="06F462BD" w:rsidR="004234B8" w:rsidRPr="001F3ACF" w:rsidRDefault="004234B8" w:rsidP="000D5052">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3E4F6E7C" w14:textId="77777777" w:rsidR="004234B8" w:rsidRPr="001F3ACF" w:rsidRDefault="004234B8" w:rsidP="000D5052">
            <w:pPr>
              <w:pStyle w:val="Tekstpodstawowy"/>
              <w:spacing w:line="360" w:lineRule="auto"/>
              <w:jc w:val="center"/>
              <w:rPr>
                <w:rFonts w:ascii="Calibri" w:hAnsi="Calibri"/>
                <w:sz w:val="20"/>
                <w:szCs w:val="24"/>
              </w:rPr>
            </w:pPr>
          </w:p>
        </w:tc>
        <w:tc>
          <w:tcPr>
            <w:tcW w:w="3825" w:type="dxa"/>
          </w:tcPr>
          <w:p w14:paraId="084E687C" w14:textId="77777777" w:rsidR="004234B8" w:rsidRPr="001F3ACF" w:rsidRDefault="004234B8" w:rsidP="000D5052">
            <w:pPr>
              <w:pStyle w:val="Tekstpodstawowy"/>
              <w:spacing w:line="360" w:lineRule="auto"/>
              <w:jc w:val="center"/>
              <w:rPr>
                <w:rFonts w:ascii="Calibri" w:hAnsi="Calibri"/>
                <w:sz w:val="20"/>
                <w:szCs w:val="24"/>
              </w:rPr>
            </w:pPr>
          </w:p>
        </w:tc>
        <w:tc>
          <w:tcPr>
            <w:tcW w:w="2728" w:type="dxa"/>
          </w:tcPr>
          <w:p w14:paraId="430B23EE" w14:textId="77777777" w:rsidR="004234B8" w:rsidRPr="001F3ACF" w:rsidRDefault="004234B8" w:rsidP="000D5052">
            <w:pPr>
              <w:pStyle w:val="Tekstpodstawowy"/>
              <w:spacing w:line="360" w:lineRule="auto"/>
              <w:jc w:val="center"/>
              <w:rPr>
                <w:rFonts w:ascii="Calibri" w:hAnsi="Calibri"/>
                <w:sz w:val="20"/>
                <w:szCs w:val="24"/>
              </w:rPr>
            </w:pPr>
          </w:p>
        </w:tc>
      </w:tr>
    </w:tbl>
    <w:p w14:paraId="1EA1C498" w14:textId="77777777" w:rsidR="007D46C5" w:rsidRDefault="007D46C5" w:rsidP="007D46C5">
      <w:pPr>
        <w:pStyle w:val="Tekstpodstawowy"/>
        <w:spacing w:before="160" w:line="360" w:lineRule="auto"/>
        <w:jc w:val="both"/>
        <w:rPr>
          <w:rFonts w:ascii="Calibri" w:hAnsi="Calibri"/>
          <w:sz w:val="19"/>
        </w:rPr>
      </w:pPr>
      <w:r>
        <w:rPr>
          <w:rFonts w:ascii="Calibri" w:hAnsi="Calibri"/>
          <w:sz w:val="19"/>
        </w:rPr>
        <w:t>Firma (dane do faktury) :........................................................................................................................................................................................</w:t>
      </w:r>
    </w:p>
    <w:p w14:paraId="3EFFBBF5" w14:textId="77777777" w:rsidR="007D46C5" w:rsidRDefault="007D46C5" w:rsidP="007D46C5">
      <w:pPr>
        <w:pStyle w:val="Tekstpodstawowy"/>
        <w:spacing w:line="360" w:lineRule="auto"/>
        <w:rPr>
          <w:rFonts w:ascii="Calibri" w:hAnsi="Calibri"/>
          <w:sz w:val="19"/>
        </w:rPr>
      </w:pPr>
      <w:r>
        <w:rPr>
          <w:rFonts w:ascii="Calibri" w:hAnsi="Calibri"/>
          <w:sz w:val="19"/>
        </w:rPr>
        <w:t>Miejscowość: .................................................................................... ulica .............................................................................. kod ......................</w:t>
      </w:r>
    </w:p>
    <w:p w14:paraId="73DA7D71" w14:textId="77777777" w:rsidR="007D46C5" w:rsidRDefault="007D46C5" w:rsidP="007D46C5">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200B5748" w14:textId="4C9D5B73" w:rsidR="007D46C5" w:rsidRDefault="007D46C5" w:rsidP="007D46C5">
      <w:pPr>
        <w:pStyle w:val="Tekstpodstawowy"/>
        <w:spacing w:line="360" w:lineRule="auto"/>
        <w:rPr>
          <w:rFonts w:ascii="Calibri" w:hAnsi="Calibri"/>
          <w:sz w:val="19"/>
        </w:rPr>
      </w:pPr>
      <w:r>
        <w:rPr>
          <w:rFonts w:ascii="Calibri" w:hAnsi="Calibri"/>
          <w:sz w:val="19"/>
        </w:rPr>
        <w:t>Kontakt telefoniczny: ........................................................ NIP: .................................................................</w:t>
      </w:r>
      <w:r w:rsidR="005C3089">
        <w:rPr>
          <w:rFonts w:ascii="Calibri" w:hAnsi="Calibri"/>
          <w:sz w:val="19"/>
        </w:rPr>
        <w:tab/>
      </w:r>
      <w:r w:rsidR="005C3089">
        <w:rPr>
          <w:rFonts w:ascii="Calibri" w:hAnsi="Calibri"/>
          <w:sz w:val="19"/>
        </w:rPr>
        <w:tab/>
      </w:r>
      <w:r w:rsidR="005C3089">
        <w:rPr>
          <w:rFonts w:ascii="Calibri" w:hAnsi="Calibri"/>
          <w:sz w:val="19"/>
        </w:rPr>
        <w:tab/>
        <w:t xml:space="preserve">   </w:t>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6E20291D" w14:textId="51569888" w:rsidR="007D46C5" w:rsidRDefault="007D46C5" w:rsidP="007D46C5">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mailem formularza zgłoszenia, dokonanie wpłaty zaliczki w wysokości 100% ceny szkolenia do 7 dni przed szkoleniem, przesłanie potwierdzenia dokonania wpłaty. Zwrotu zaliczki dokonujemy na podstawie pisemnej rezygnacji złożonej </w:t>
      </w:r>
      <w:r w:rsidR="007E0D9F">
        <w:rPr>
          <w:rFonts w:asciiTheme="minorHAnsi" w:hAnsiTheme="minorHAnsi"/>
          <w:sz w:val="18"/>
          <w:szCs w:val="18"/>
        </w:rPr>
        <w:br/>
      </w:r>
      <w:r w:rsidRPr="00BC0F5C">
        <w:rPr>
          <w:rFonts w:asciiTheme="minorHAnsi" w:hAnsiTheme="minorHAnsi"/>
          <w:sz w:val="18"/>
          <w:szCs w:val="18"/>
        </w:rPr>
        <w:t xml:space="preserve">nie później niż 7 dni przed szkoleniem. Po upływie tego terminu zgłaszający zobowiązuje się do zapłaty 100% podanej kwoty. W przypadku </w:t>
      </w:r>
      <w:r w:rsidR="007E0D9F">
        <w:rPr>
          <w:rFonts w:asciiTheme="minorHAnsi" w:hAnsiTheme="minorHAnsi"/>
          <w:sz w:val="18"/>
          <w:szCs w:val="18"/>
        </w:rPr>
        <w:br/>
      </w:r>
      <w:r w:rsidRPr="00BC0F5C">
        <w:rPr>
          <w:rFonts w:asciiTheme="minorHAnsi" w:hAnsiTheme="minorHAnsi"/>
          <w:sz w:val="18"/>
          <w:szCs w:val="18"/>
        </w:rPr>
        <w:t xml:space="preserve">nie uczestniczenia w szkoleniu i braku pisemnej rezygnacji obciążamy Państwa 100% kosztami szkolenia. Możliwe jest uczestnictwo innej osoby </w:t>
      </w:r>
      <w:r w:rsidR="007E0D9F">
        <w:rPr>
          <w:rFonts w:asciiTheme="minorHAnsi" w:hAnsiTheme="minorHAnsi"/>
          <w:sz w:val="18"/>
          <w:szCs w:val="18"/>
        </w:rPr>
        <w:br/>
      </w:r>
      <w:r w:rsidRPr="00BC0F5C">
        <w:rPr>
          <w:rFonts w:asciiTheme="minorHAnsi" w:hAnsiTheme="minorHAnsi"/>
          <w:sz w:val="18"/>
          <w:szCs w:val="18"/>
        </w:rPr>
        <w:t>niż zgłoszonej.</w:t>
      </w:r>
      <w:r w:rsidRPr="00F84622">
        <w:t xml:space="preserve"> </w:t>
      </w:r>
      <w:r w:rsidRPr="00F84622">
        <w:rPr>
          <w:rFonts w:ascii="Calibri" w:hAnsi="Calibri"/>
          <w:sz w:val="18"/>
          <w:szCs w:val="18"/>
          <w:lang w:eastAsia="en-US"/>
        </w:rPr>
        <w:t xml:space="preserve">ATL zastrzega sobie prawo odwołania szkolenia otwartego ze względu na zgromadzenie niedostatecznej liczby uczestników, </w:t>
      </w:r>
      <w:r w:rsidR="007E0D9F">
        <w:rPr>
          <w:rFonts w:ascii="Calibri" w:hAnsi="Calibri"/>
          <w:sz w:val="18"/>
          <w:szCs w:val="18"/>
          <w:lang w:eastAsia="en-US"/>
        </w:rPr>
        <w:br/>
      </w:r>
      <w:r w:rsidRPr="00F84622">
        <w:rPr>
          <w:rFonts w:ascii="Calibri" w:hAnsi="Calibri"/>
          <w:sz w:val="18"/>
          <w:szCs w:val="18"/>
          <w:lang w:eastAsia="en-US"/>
        </w:rPr>
        <w:t>o czym Zamawiający/Zleceniodawca i Uczestnik zostaną poinformowani ze stosownym wyprzedzeniem.</w:t>
      </w:r>
    </w:p>
    <w:p w14:paraId="62D63412" w14:textId="77777777" w:rsidR="007D46C5" w:rsidRPr="00272ADA" w:rsidRDefault="007D46C5" w:rsidP="005C3089">
      <w:pPr>
        <w:spacing w:after="6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4E987E2A" w14:textId="77777777" w:rsidR="007D46C5" w:rsidRPr="00BC0F5C" w:rsidRDefault="007D46C5" w:rsidP="004234B8">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4B2CF31D" w14:textId="77777777" w:rsidR="007D46C5" w:rsidRPr="00ED6802" w:rsidRDefault="007D46C5" w:rsidP="007D46C5">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67781EB" w14:textId="77777777" w:rsidR="007D46C5" w:rsidRPr="00BC0F5C" w:rsidRDefault="007D46C5" w:rsidP="007D46C5">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01BFDACF" w14:textId="77777777" w:rsidR="007D46C5" w:rsidRPr="00BC0F5C" w:rsidRDefault="007D46C5" w:rsidP="007D46C5">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3839E0C9" w14:textId="77777777" w:rsidR="007D46C5" w:rsidRPr="00BC0F5C" w:rsidRDefault="007D46C5" w:rsidP="007D46C5">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1F715198" w14:textId="77777777" w:rsidR="007D46C5" w:rsidRPr="00BC0F5C" w:rsidRDefault="007D46C5" w:rsidP="007D46C5">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9540524" w14:textId="77777777" w:rsidR="007D46C5" w:rsidRPr="00ED6802" w:rsidRDefault="007D46C5" w:rsidP="007D46C5">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7561684" w14:textId="2FA30337" w:rsidR="007D46C5" w:rsidRPr="004B6EA5" w:rsidRDefault="007D46C5" w:rsidP="007D46C5">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145E27" w:rsidRPr="004B6EA5">
          <w:rPr>
            <w:rStyle w:val="Hipercze"/>
            <w:rFonts w:asciiTheme="minorHAnsi" w:hAnsiTheme="minorHAnsi"/>
            <w:b/>
            <w:spacing w:val="-4"/>
            <w:sz w:val="15"/>
            <w:szCs w:val="15"/>
          </w:rPr>
          <w:t>Obowiązek informacyjny</w:t>
        </w:r>
      </w:hyperlink>
      <w:r w:rsidR="00145E27" w:rsidRPr="004B6EA5">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0CAA70AA" w14:textId="77777777" w:rsidR="007D46C5" w:rsidRPr="004B6EA5" w:rsidRDefault="007D46C5" w:rsidP="007D46C5">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01B0F1C5" w14:textId="77777777" w:rsidR="007D46C5" w:rsidRPr="004B6EA5" w:rsidRDefault="007D46C5" w:rsidP="007D46C5">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7C37B508" w14:textId="77777777" w:rsidR="007D46C5" w:rsidRPr="00321B20" w:rsidRDefault="007D46C5" w:rsidP="007D46C5">
      <w:pPr>
        <w:rPr>
          <w:rFonts w:asciiTheme="minorHAnsi" w:hAnsiTheme="minorHAnsi"/>
          <w:sz w:val="8"/>
          <w:szCs w:val="8"/>
        </w:rPr>
      </w:pPr>
    </w:p>
    <w:p w14:paraId="26B7BD21" w14:textId="77777777" w:rsidR="00145E27" w:rsidRPr="004B6EA5" w:rsidRDefault="00145E27" w:rsidP="00145E27">
      <w:pPr>
        <w:jc w:val="both"/>
        <w:rPr>
          <w:rStyle w:val="Hipercze"/>
          <w:rFonts w:asciiTheme="minorHAnsi" w:hAnsiTheme="minorHAnsi"/>
          <w:sz w:val="15"/>
          <w:szCs w:val="15"/>
        </w:rPr>
      </w:pPr>
      <w:r w:rsidRPr="004B6EA5">
        <w:rPr>
          <w:rFonts w:asciiTheme="minorHAnsi" w:hAnsiTheme="minorHAnsi"/>
          <w:sz w:val="15"/>
          <w:szCs w:val="15"/>
        </w:rPr>
        <w:t>*</w:t>
      </w:r>
      <w:r w:rsidRPr="004B6EA5">
        <w:rPr>
          <w:rFonts w:asciiTheme="minorHAnsi" w:hAnsiTheme="minorHAnsi"/>
          <w:b/>
          <w:sz w:val="15"/>
          <w:szCs w:val="15"/>
          <w:u w:val="single"/>
        </w:rPr>
        <w:t>Regulamin Szkoleń</w:t>
      </w:r>
      <w:r w:rsidRPr="004B6EA5">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3B9A5C55" w14:textId="71DF6311" w:rsidR="007D46C5" w:rsidRDefault="00145E27" w:rsidP="00145E27">
      <w:pPr>
        <w:rPr>
          <w:rFonts w:asciiTheme="minorHAnsi" w:hAnsiTheme="minorHAnsi"/>
          <w:sz w:val="16"/>
        </w:rPr>
      </w:pPr>
      <w:r w:rsidRPr="004B6EA5">
        <w:rPr>
          <w:rFonts w:asciiTheme="minorHAnsi" w:hAnsiTheme="minorHAnsi"/>
          <w:sz w:val="15"/>
          <w:szCs w:val="15"/>
        </w:rPr>
        <w:t xml:space="preserve">** </w:t>
      </w:r>
      <w:r w:rsidRPr="004B6EA5">
        <w:rPr>
          <w:rFonts w:asciiTheme="minorHAnsi" w:hAnsiTheme="minorHAnsi"/>
          <w:b/>
          <w:sz w:val="15"/>
          <w:szCs w:val="15"/>
          <w:u w:val="single"/>
        </w:rPr>
        <w:t>Klauzula informacyjna</w:t>
      </w:r>
      <w:r w:rsidRPr="004B6EA5">
        <w:rPr>
          <w:rFonts w:asciiTheme="minorHAnsi" w:hAnsiTheme="minorHAnsi"/>
          <w:sz w:val="15"/>
          <w:szCs w:val="15"/>
          <w:u w:val="single"/>
        </w:rPr>
        <w:t xml:space="preserve"> </w:t>
      </w:r>
      <w:r w:rsidRPr="004B6EA5">
        <w:rPr>
          <w:rFonts w:asciiTheme="minorHAnsi" w:hAnsiTheme="minorHAnsi"/>
          <w:sz w:val="15"/>
          <w:szCs w:val="15"/>
        </w:rPr>
        <w:t xml:space="preserve">znajduje się na stronie </w:t>
      </w:r>
      <w:hyperlink r:id="rId13" w:history="1">
        <w:r w:rsidRPr="00731424">
          <w:rPr>
            <w:rStyle w:val="Hipercze"/>
            <w:rFonts w:asciiTheme="minorHAnsi" w:hAnsiTheme="minorHAnsi"/>
            <w:sz w:val="15"/>
            <w:szCs w:val="15"/>
          </w:rPr>
          <w:t>https://www.atl.edu.pl/uploads/RODO.PDF</w:t>
        </w:r>
      </w:hyperlink>
      <w:r w:rsidR="007D46C5" w:rsidRPr="004B6EA5">
        <w:rPr>
          <w:rFonts w:asciiTheme="minorHAnsi" w:hAnsiTheme="minorHAnsi"/>
          <w:sz w:val="15"/>
          <w:szCs w:val="15"/>
        </w:rPr>
        <w:tab/>
      </w:r>
      <w:r w:rsidR="007D46C5">
        <w:rPr>
          <w:rFonts w:asciiTheme="minorHAnsi" w:hAnsiTheme="minorHAnsi"/>
          <w:sz w:val="16"/>
        </w:rPr>
        <w:tab/>
      </w:r>
      <w:r w:rsidR="007D46C5">
        <w:rPr>
          <w:rFonts w:asciiTheme="minorHAnsi" w:hAnsiTheme="minorHAnsi"/>
          <w:sz w:val="16"/>
        </w:rPr>
        <w:tab/>
      </w:r>
      <w:r w:rsidR="007D46C5">
        <w:rPr>
          <w:rFonts w:asciiTheme="minorHAnsi" w:hAnsiTheme="minorHAnsi"/>
          <w:sz w:val="16"/>
        </w:rPr>
        <w:tab/>
      </w:r>
      <w:r w:rsidR="007D46C5">
        <w:rPr>
          <w:rFonts w:asciiTheme="minorHAnsi" w:hAnsiTheme="minorHAnsi"/>
          <w:sz w:val="16"/>
        </w:rPr>
        <w:tab/>
      </w:r>
      <w:r w:rsidR="007D46C5">
        <w:rPr>
          <w:rFonts w:asciiTheme="minorHAnsi" w:hAnsiTheme="minorHAnsi"/>
          <w:sz w:val="16"/>
        </w:rPr>
        <w:tab/>
      </w:r>
      <w:r w:rsidR="007D46C5">
        <w:rPr>
          <w:rFonts w:asciiTheme="minorHAnsi" w:hAnsiTheme="minorHAnsi"/>
          <w:sz w:val="16"/>
        </w:rPr>
        <w:tab/>
      </w:r>
      <w:r w:rsidR="007D46C5">
        <w:rPr>
          <w:rFonts w:asciiTheme="minorHAnsi" w:hAnsiTheme="minorHAnsi"/>
          <w:sz w:val="16"/>
        </w:rPr>
        <w:tab/>
      </w:r>
    </w:p>
    <w:p w14:paraId="2BD50C16" w14:textId="4342FFD6" w:rsidR="007D46C5" w:rsidRPr="00DB5183" w:rsidRDefault="007D46C5" w:rsidP="007D46C5">
      <w:pPr>
        <w:ind w:left="8037" w:firstLine="57"/>
        <w:rPr>
          <w:rFonts w:asciiTheme="minorHAnsi" w:hAnsiTheme="minorHAnsi"/>
          <w:sz w:val="16"/>
        </w:rPr>
      </w:pPr>
      <w:r w:rsidRPr="00BC0F5C">
        <w:rPr>
          <w:rFonts w:asciiTheme="minorHAnsi" w:hAnsiTheme="minorHAnsi"/>
          <w:sz w:val="18"/>
          <w:szCs w:val="18"/>
        </w:rPr>
        <w:t>..................................</w:t>
      </w:r>
      <w:r w:rsidR="005C3089">
        <w:rPr>
          <w:rFonts w:asciiTheme="minorHAnsi" w:hAnsiTheme="minorHAnsi"/>
          <w:sz w:val="18"/>
          <w:szCs w:val="18"/>
        </w:rPr>
        <w:t>...</w:t>
      </w:r>
      <w:r w:rsidRPr="00BC0F5C">
        <w:rPr>
          <w:rFonts w:asciiTheme="minorHAnsi" w:hAnsiTheme="minorHAnsi"/>
          <w:sz w:val="18"/>
          <w:szCs w:val="18"/>
        </w:rPr>
        <w:t>.</w:t>
      </w:r>
    </w:p>
    <w:p w14:paraId="0E95AB75" w14:textId="135F617A" w:rsidR="007D46C5" w:rsidRPr="007F3FBA" w:rsidRDefault="007D46C5" w:rsidP="007F3FBA">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005C3089">
        <w:rPr>
          <w:rFonts w:asciiTheme="minorHAnsi" w:hAnsiTheme="minorHAnsi"/>
          <w:sz w:val="18"/>
          <w:szCs w:val="18"/>
        </w:rPr>
        <w:tab/>
      </w:r>
      <w:r w:rsidRPr="00BC0F5C">
        <w:rPr>
          <w:rFonts w:asciiTheme="minorHAnsi" w:hAnsiTheme="minorHAnsi"/>
          <w:b/>
          <w:bCs/>
          <w:sz w:val="18"/>
          <w:szCs w:val="18"/>
        </w:rPr>
        <w:t>PIECZĄTKA I PODPIS</w:t>
      </w:r>
      <w:r w:rsidRPr="00BC0F5C">
        <w:rPr>
          <w:rFonts w:asciiTheme="minorHAnsi" w:hAnsiTheme="minorHAnsi"/>
          <w:b/>
          <w:bCs/>
          <w:vanish/>
          <w:sz w:val="18"/>
          <w:szCs w:val="18"/>
        </w:rPr>
        <w:t xml:space="preserve">DatabaseID=58563E5320204C4F46522D21|ContactID=3A573E532020474F46522D21| </w:t>
      </w:r>
    </w:p>
    <w:sectPr w:rsidR="007D46C5" w:rsidRPr="007F3FBA" w:rsidSect="00A63912">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4475B" w14:textId="77777777" w:rsidR="00A63912" w:rsidRDefault="00A63912">
      <w:r>
        <w:separator/>
      </w:r>
    </w:p>
  </w:endnote>
  <w:endnote w:type="continuationSeparator" w:id="0">
    <w:p w14:paraId="624C727D" w14:textId="77777777" w:rsidR="00A63912" w:rsidRDefault="00A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2C139" w14:textId="77777777" w:rsidR="000D5052" w:rsidRDefault="000D50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FBA644" w14:textId="77777777" w:rsidR="000D5052" w:rsidRDefault="000D5052">
    <w:pPr>
      <w:pStyle w:val="Stopka"/>
      <w:ind w:right="360"/>
    </w:pPr>
  </w:p>
  <w:p w14:paraId="2CD446A8" w14:textId="77777777" w:rsidR="000D5052" w:rsidRDefault="000D5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C4E38" w14:textId="77777777" w:rsidR="000D5052" w:rsidRDefault="000D5052">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1CC1A6C4" w14:textId="77777777" w:rsidR="000D5052" w:rsidRPr="008F0B3B" w:rsidRDefault="000D5052">
    <w:pPr>
      <w:pStyle w:val="Stopka"/>
      <w:spacing w:after="60"/>
      <w:jc w:val="center"/>
      <w:rPr>
        <w:rFonts w:ascii="Calibri" w:hAnsi="Calibri" w:cs="Tahoma"/>
        <w:sz w:val="16"/>
      </w:rPr>
    </w:pPr>
    <w:r>
      <w:rPr>
        <w:rFonts w:ascii="Calibri" w:hAnsi="Calibri" w:cs="Tahoma"/>
        <w:sz w:val="16"/>
      </w:rPr>
      <w:t xml:space="preserve">02-928 Warszawa, ul. </w:t>
    </w:r>
    <w:r w:rsidRPr="00835062">
      <w:rPr>
        <w:rFonts w:ascii="Calibri" w:hAnsi="Calibri" w:cs="Tahoma"/>
        <w:sz w:val="16"/>
      </w:rPr>
      <w:t>A. Locciego 26; tel.: 22 853 35 23, tel. kom.: 607 573 053, faks: 22 247 21 83, e-mail: atl@atl.edu.pl, www.atl.edu.pl</w:t>
    </w:r>
  </w:p>
  <w:p w14:paraId="4C2780BF" w14:textId="77777777" w:rsidR="000D5052" w:rsidRDefault="000D5052">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A6D3A" w14:textId="77777777" w:rsidR="00A63912" w:rsidRDefault="00A63912">
      <w:r>
        <w:separator/>
      </w:r>
    </w:p>
  </w:footnote>
  <w:footnote w:type="continuationSeparator" w:id="0">
    <w:p w14:paraId="49CA5330" w14:textId="77777777" w:rsidR="00A63912" w:rsidRDefault="00A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67D3C" w14:textId="616A935C" w:rsidR="000D5052" w:rsidRDefault="000D5052" w:rsidP="005C72B0">
    <w:pPr>
      <w:pStyle w:val="Nagwek"/>
      <w:pBdr>
        <w:bottom w:val="single" w:sz="4" w:space="1" w:color="auto"/>
      </w:pBdr>
      <w:tabs>
        <w:tab w:val="clear" w:pos="4536"/>
        <w:tab w:val="clear" w:pos="9072"/>
      </w:tabs>
      <w:contextualSpacing/>
      <w:jc w:val="right"/>
    </w:pPr>
    <w:r>
      <w:rPr>
        <w:noProof/>
        <w:sz w:val="20"/>
      </w:rPr>
      <mc:AlternateContent>
        <mc:Choice Requires="wps">
          <w:drawing>
            <wp:anchor distT="0" distB="0" distL="114300" distR="114300" simplePos="0" relativeHeight="251657728" behindDoc="0" locked="0" layoutInCell="1" allowOverlap="1" wp14:anchorId="717A25C8" wp14:editId="3EEB3C06">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C1A1F" w14:textId="77777777" w:rsidR="000D5052" w:rsidRDefault="000D5052">
                          <w:pPr>
                            <w:pStyle w:val="Tekstpodstawowy2"/>
                            <w:rPr>
                              <w:rFonts w:ascii="Calibri" w:hAnsi="Calibri"/>
                              <w:b/>
                              <w:bCs/>
                            </w:rPr>
                          </w:pPr>
                          <w:r>
                            <w:rPr>
                              <w:rFonts w:ascii="Calibri" w:hAnsi="Calibri"/>
                              <w:b/>
                              <w:bCs/>
                            </w:rPr>
                            <w:t>Gwarantowany wysoki poziom merytoryczny i organizacyjny szkoleń.</w:t>
                          </w:r>
                        </w:p>
                        <w:p w14:paraId="4352FB4B" w14:textId="4F3E926F" w:rsidR="000D5052" w:rsidRDefault="000D5052">
                          <w:pPr>
                            <w:rPr>
                              <w:rFonts w:ascii="Calibri" w:hAnsi="Calibri"/>
                              <w:b/>
                              <w:bCs/>
                              <w:sz w:val="16"/>
                            </w:rPr>
                          </w:pPr>
                          <w:r>
                            <w:rPr>
                              <w:rFonts w:ascii="Calibri" w:hAnsi="Calibri"/>
                              <w:b/>
                              <w:bCs/>
                              <w:sz w:val="16"/>
                            </w:rPr>
                            <w:t>Polska firma szkoleniowa – od 2</w:t>
                          </w:r>
                          <w:r w:rsidR="00EE318A">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A25C8" id="_x0000_t202" coordsize="21600,21600" o:spt="202" path="m,l,21600r21600,l21600,xe">
              <v:stroke joinstyle="miter"/>
              <v:path gradientshapeok="t" o:connecttype="rect"/>
            </v:shapetype>
            <v:shape id="Text Box 12" o:spid="_x0000_s1026" type="#_x0000_t202" style="position:absolute;left:0;text-align:left;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380C1A1F" w14:textId="77777777" w:rsidR="000D5052" w:rsidRDefault="000D5052">
                    <w:pPr>
                      <w:pStyle w:val="Tekstpodstawowy2"/>
                      <w:rPr>
                        <w:rFonts w:ascii="Calibri" w:hAnsi="Calibri"/>
                        <w:b/>
                        <w:bCs/>
                      </w:rPr>
                    </w:pPr>
                    <w:r>
                      <w:rPr>
                        <w:rFonts w:ascii="Calibri" w:hAnsi="Calibri"/>
                        <w:b/>
                        <w:bCs/>
                      </w:rPr>
                      <w:t>Gwarantowany wysoki poziom merytoryczny i organizacyjny szkoleń.</w:t>
                    </w:r>
                  </w:p>
                  <w:p w14:paraId="4352FB4B" w14:textId="4F3E926F" w:rsidR="000D5052" w:rsidRDefault="000D5052">
                    <w:pPr>
                      <w:rPr>
                        <w:rFonts w:ascii="Calibri" w:hAnsi="Calibri"/>
                        <w:b/>
                        <w:bCs/>
                        <w:sz w:val="16"/>
                      </w:rPr>
                    </w:pPr>
                    <w:r>
                      <w:rPr>
                        <w:rFonts w:ascii="Calibri" w:hAnsi="Calibri"/>
                        <w:b/>
                        <w:bCs/>
                        <w:sz w:val="16"/>
                      </w:rPr>
                      <w:t>Polska firma szkoleniowa – od 2</w:t>
                    </w:r>
                    <w:r w:rsidR="00EE318A">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object w:dxaOrig="1860" w:dyaOrig="810" w14:anchorId="76085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0.5pt">
          <v:imagedata r:id="rId1" o:title=""/>
        </v:shape>
        <o:OLEObject Type="Embed" ProgID="CorelDRAW.Graphic.10" ShapeID="_x0000_i1025" DrawAspect="Content" ObjectID="_1773762788" r:id="rId2"/>
      </w:objec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2893"/>
    <w:multiLevelType w:val="hybridMultilevel"/>
    <w:tmpl w:val="7082A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A42A1"/>
    <w:multiLevelType w:val="hybridMultilevel"/>
    <w:tmpl w:val="DCE0309A"/>
    <w:lvl w:ilvl="0" w:tplc="E4ECB486">
      <w:start w:val="1"/>
      <w:numFmt w:val="bullet"/>
      <w:lvlText w:val=""/>
      <w:lvlJc w:val="left"/>
      <w:pPr>
        <w:ind w:left="720" w:hanging="360"/>
      </w:pPr>
      <w:rPr>
        <w:rFonts w:ascii="Symbol" w:hAnsi="Symbol" w:hint="default"/>
        <w:color w:val="00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A13C95"/>
    <w:multiLevelType w:val="hybridMultilevel"/>
    <w:tmpl w:val="D2C20EF8"/>
    <w:lvl w:ilvl="0" w:tplc="997EFBE2">
      <w:start w:val="1"/>
      <w:numFmt w:val="bullet"/>
      <w:lvlText w:val="-"/>
      <w:lvlJc w:val="left"/>
      <w:pPr>
        <w:tabs>
          <w:tab w:val="num" w:pos="397"/>
        </w:tabs>
        <w:ind w:left="397" w:hanging="397"/>
      </w:pPr>
      <w:rPr>
        <w:rFonts w:ascii="Times New Roman" w:hAnsi="Times New Roman" w:cs="Times New Roman" w:hint="default"/>
      </w:rPr>
    </w:lvl>
    <w:lvl w:ilvl="1" w:tplc="00A64C6C">
      <w:start w:val="1"/>
      <w:numFmt w:val="bullet"/>
      <w:lvlText w:val=""/>
      <w:lvlJc w:val="left"/>
      <w:pPr>
        <w:tabs>
          <w:tab w:val="num" w:pos="397"/>
        </w:tabs>
        <w:ind w:left="397" w:hanging="397"/>
      </w:pPr>
      <w:rPr>
        <w:rFonts w:ascii="Wingdings" w:hAnsi="Wingdings" w:hint="default"/>
        <w:color w:val="003399"/>
      </w:rPr>
    </w:lvl>
    <w:lvl w:ilvl="2" w:tplc="195AF598">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1067FF"/>
    <w:multiLevelType w:val="hybridMultilevel"/>
    <w:tmpl w:val="D77A0E66"/>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AD38AE"/>
    <w:multiLevelType w:val="hybridMultilevel"/>
    <w:tmpl w:val="76FE6EEE"/>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B25EB9"/>
    <w:multiLevelType w:val="hybridMultilevel"/>
    <w:tmpl w:val="4F2EF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20E69"/>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CAE2D3A2">
      <w:start w:val="1"/>
      <w:numFmt w:val="bullet"/>
      <w:lvlText w:val=""/>
      <w:lvlJc w:val="left"/>
      <w:pPr>
        <w:tabs>
          <w:tab w:val="num" w:pos="397"/>
        </w:tabs>
        <w:ind w:left="397" w:hanging="397"/>
      </w:pPr>
      <w:rPr>
        <w:rFonts w:ascii="Wingdings" w:hAnsi="Wingdings" w:hint="default"/>
      </w:rPr>
    </w:lvl>
    <w:lvl w:ilvl="2" w:tplc="09402A76">
      <w:start w:val="1"/>
      <w:numFmt w:val="bullet"/>
      <w:lvlText w:val="-"/>
      <w:lvlJc w:val="left"/>
      <w:pPr>
        <w:tabs>
          <w:tab w:val="num" w:pos="397"/>
        </w:tabs>
        <w:ind w:left="397" w:hanging="397"/>
      </w:pPr>
      <w:rPr>
        <w:rFonts w:ascii="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56125"/>
    <w:multiLevelType w:val="hybridMultilevel"/>
    <w:tmpl w:val="2214BE7C"/>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252C8A"/>
    <w:multiLevelType w:val="hybridMultilevel"/>
    <w:tmpl w:val="2D102B60"/>
    <w:lvl w:ilvl="0" w:tplc="C4DCA990">
      <w:start w:val="1"/>
      <w:numFmt w:val="decimal"/>
      <w:lvlText w:val="%1."/>
      <w:lvlJc w:val="left"/>
      <w:pPr>
        <w:ind w:left="720" w:hanging="360"/>
      </w:pPr>
      <w:rPr>
        <w:rFonts w:hint="default"/>
        <w:color w:val="0033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7B1D33"/>
    <w:multiLevelType w:val="hybridMultilevel"/>
    <w:tmpl w:val="BD88835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AF0374"/>
    <w:multiLevelType w:val="hybridMultilevel"/>
    <w:tmpl w:val="00889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D77953"/>
    <w:multiLevelType w:val="hybridMultilevel"/>
    <w:tmpl w:val="3C7CD4D8"/>
    <w:lvl w:ilvl="0" w:tplc="B97AF100">
      <w:start w:val="1"/>
      <w:numFmt w:val="bullet"/>
      <w:lvlText w:val=""/>
      <w:lvlJc w:val="left"/>
      <w:pPr>
        <w:ind w:left="720" w:hanging="360"/>
      </w:pPr>
      <w:rPr>
        <w:rFonts w:ascii="Wingdings" w:hAnsi="Wingdings"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AE0BF7"/>
    <w:multiLevelType w:val="hybridMultilevel"/>
    <w:tmpl w:val="7D5CB1C2"/>
    <w:lvl w:ilvl="0" w:tplc="997EFBE2">
      <w:start w:val="1"/>
      <w:numFmt w:val="bullet"/>
      <w:lvlText w:val="-"/>
      <w:lvlJc w:val="left"/>
      <w:pPr>
        <w:tabs>
          <w:tab w:val="num" w:pos="397"/>
        </w:tabs>
        <w:ind w:left="397" w:hanging="397"/>
      </w:pPr>
      <w:rPr>
        <w:rFonts w:ascii="Times New Roman" w:hAnsi="Times New Roman" w:cs="Times New Roman" w:hint="default"/>
      </w:rPr>
    </w:lvl>
    <w:lvl w:ilvl="1" w:tplc="5B043A4A">
      <w:start w:val="1"/>
      <w:numFmt w:val="bullet"/>
      <w:lvlText w:val=""/>
      <w:lvlJc w:val="left"/>
      <w:pPr>
        <w:tabs>
          <w:tab w:val="num" w:pos="397"/>
        </w:tabs>
        <w:ind w:left="397" w:hanging="397"/>
      </w:pPr>
      <w:rPr>
        <w:rFonts w:ascii="Wingdings" w:hAnsi="Wingdings" w:hint="default"/>
        <w:color w:val="215868" w:themeColor="accent5" w:themeShade="80"/>
      </w:rPr>
    </w:lvl>
    <w:lvl w:ilvl="2" w:tplc="195AF598">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45EE2"/>
    <w:multiLevelType w:val="hybridMultilevel"/>
    <w:tmpl w:val="7BFE2586"/>
    <w:lvl w:ilvl="0" w:tplc="B97AF100">
      <w:start w:val="1"/>
      <w:numFmt w:val="bullet"/>
      <w:lvlText w:val=""/>
      <w:lvlJc w:val="left"/>
      <w:pPr>
        <w:ind w:left="720" w:hanging="360"/>
      </w:pPr>
      <w:rPr>
        <w:rFonts w:ascii="Wingdings" w:hAnsi="Wingdings"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75173D"/>
    <w:multiLevelType w:val="hybridMultilevel"/>
    <w:tmpl w:val="62640852"/>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A27C5F"/>
    <w:multiLevelType w:val="hybridMultilevel"/>
    <w:tmpl w:val="52448254"/>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C9558B"/>
    <w:multiLevelType w:val="hybridMultilevel"/>
    <w:tmpl w:val="EEFAA70C"/>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E82BCA"/>
    <w:multiLevelType w:val="hybridMultilevel"/>
    <w:tmpl w:val="8A904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700659B1"/>
    <w:multiLevelType w:val="hybridMultilevel"/>
    <w:tmpl w:val="62DE7BF6"/>
    <w:lvl w:ilvl="0" w:tplc="76E2551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59989162">
    <w:abstractNumId w:val="27"/>
  </w:num>
  <w:num w:numId="2" w16cid:durableId="2139909391">
    <w:abstractNumId w:val="18"/>
  </w:num>
  <w:num w:numId="3" w16cid:durableId="1929146062">
    <w:abstractNumId w:val="9"/>
  </w:num>
  <w:num w:numId="4" w16cid:durableId="860318362">
    <w:abstractNumId w:val="16"/>
  </w:num>
  <w:num w:numId="5" w16cid:durableId="1607884866">
    <w:abstractNumId w:val="14"/>
  </w:num>
  <w:num w:numId="6" w16cid:durableId="1727870232">
    <w:abstractNumId w:val="10"/>
  </w:num>
  <w:num w:numId="7" w16cid:durableId="1555892569">
    <w:abstractNumId w:val="24"/>
  </w:num>
  <w:num w:numId="8" w16cid:durableId="5064782">
    <w:abstractNumId w:val="2"/>
  </w:num>
  <w:num w:numId="9" w16cid:durableId="61947575">
    <w:abstractNumId w:val="6"/>
  </w:num>
  <w:num w:numId="10" w16cid:durableId="523640488">
    <w:abstractNumId w:val="8"/>
  </w:num>
  <w:num w:numId="11" w16cid:durableId="1980375045">
    <w:abstractNumId w:val="20"/>
  </w:num>
  <w:num w:numId="12" w16cid:durableId="972372017">
    <w:abstractNumId w:val="13"/>
  </w:num>
  <w:num w:numId="13" w16cid:durableId="335882394">
    <w:abstractNumId w:val="3"/>
  </w:num>
  <w:num w:numId="14" w16cid:durableId="700591162">
    <w:abstractNumId w:val="0"/>
  </w:num>
  <w:num w:numId="15" w16cid:durableId="868876302">
    <w:abstractNumId w:val="26"/>
  </w:num>
  <w:num w:numId="16" w16cid:durableId="1810899252">
    <w:abstractNumId w:val="15"/>
  </w:num>
  <w:num w:numId="17" w16cid:durableId="1325208204">
    <w:abstractNumId w:val="23"/>
  </w:num>
  <w:num w:numId="18" w16cid:durableId="779448469">
    <w:abstractNumId w:val="19"/>
  </w:num>
  <w:num w:numId="19" w16cid:durableId="10617994">
    <w:abstractNumId w:val="17"/>
  </w:num>
  <w:num w:numId="20" w16cid:durableId="1847284157">
    <w:abstractNumId w:val="5"/>
  </w:num>
  <w:num w:numId="21" w16cid:durableId="311763062">
    <w:abstractNumId w:val="12"/>
  </w:num>
  <w:num w:numId="22" w16cid:durableId="439572499">
    <w:abstractNumId w:val="21"/>
  </w:num>
  <w:num w:numId="23" w16cid:durableId="1348754838">
    <w:abstractNumId w:val="25"/>
  </w:num>
  <w:num w:numId="24" w16cid:durableId="416171721">
    <w:abstractNumId w:val="1"/>
  </w:num>
  <w:num w:numId="25" w16cid:durableId="460264816">
    <w:abstractNumId w:val="22"/>
  </w:num>
  <w:num w:numId="26" w16cid:durableId="1819296380">
    <w:abstractNumId w:val="11"/>
  </w:num>
  <w:num w:numId="27" w16cid:durableId="317150676">
    <w:abstractNumId w:val="7"/>
  </w:num>
  <w:num w:numId="28" w16cid:durableId="13952008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102E7B"/>
    <w:rsid w:val="00007D86"/>
    <w:rsid w:val="00014BB1"/>
    <w:rsid w:val="00016197"/>
    <w:rsid w:val="000172A0"/>
    <w:rsid w:val="000257F4"/>
    <w:rsid w:val="00032312"/>
    <w:rsid w:val="00040CE9"/>
    <w:rsid w:val="00064D9D"/>
    <w:rsid w:val="00066F17"/>
    <w:rsid w:val="0006712F"/>
    <w:rsid w:val="00067739"/>
    <w:rsid w:val="00070604"/>
    <w:rsid w:val="00077BB5"/>
    <w:rsid w:val="00086C8D"/>
    <w:rsid w:val="00086EB4"/>
    <w:rsid w:val="00091854"/>
    <w:rsid w:val="000937B2"/>
    <w:rsid w:val="00095408"/>
    <w:rsid w:val="0009799D"/>
    <w:rsid w:val="000A220D"/>
    <w:rsid w:val="000A2BD9"/>
    <w:rsid w:val="000B4586"/>
    <w:rsid w:val="000B698D"/>
    <w:rsid w:val="000C06D4"/>
    <w:rsid w:val="000C3B6F"/>
    <w:rsid w:val="000C416F"/>
    <w:rsid w:val="000D5052"/>
    <w:rsid w:val="000D5818"/>
    <w:rsid w:val="000D6FF6"/>
    <w:rsid w:val="000E774B"/>
    <w:rsid w:val="000E7DB3"/>
    <w:rsid w:val="000F0E80"/>
    <w:rsid w:val="000F7A8C"/>
    <w:rsid w:val="001018D0"/>
    <w:rsid w:val="00102087"/>
    <w:rsid w:val="00102E7B"/>
    <w:rsid w:val="00104C93"/>
    <w:rsid w:val="00106873"/>
    <w:rsid w:val="001115BF"/>
    <w:rsid w:val="00114923"/>
    <w:rsid w:val="00116B0D"/>
    <w:rsid w:val="00130D91"/>
    <w:rsid w:val="00130F9D"/>
    <w:rsid w:val="00132781"/>
    <w:rsid w:val="00145E27"/>
    <w:rsid w:val="00150A08"/>
    <w:rsid w:val="0016678C"/>
    <w:rsid w:val="001712F4"/>
    <w:rsid w:val="00174E46"/>
    <w:rsid w:val="001776FC"/>
    <w:rsid w:val="00183516"/>
    <w:rsid w:val="001835E9"/>
    <w:rsid w:val="00186BD4"/>
    <w:rsid w:val="00192995"/>
    <w:rsid w:val="0019495E"/>
    <w:rsid w:val="0019500D"/>
    <w:rsid w:val="00195FEF"/>
    <w:rsid w:val="001A2DAF"/>
    <w:rsid w:val="001B2D35"/>
    <w:rsid w:val="001B60D2"/>
    <w:rsid w:val="001B710F"/>
    <w:rsid w:val="001C0E52"/>
    <w:rsid w:val="001C67FF"/>
    <w:rsid w:val="001D2609"/>
    <w:rsid w:val="001E122F"/>
    <w:rsid w:val="001E5CF2"/>
    <w:rsid w:val="002042D4"/>
    <w:rsid w:val="00212D87"/>
    <w:rsid w:val="00213219"/>
    <w:rsid w:val="00214BE6"/>
    <w:rsid w:val="00217431"/>
    <w:rsid w:val="002203C6"/>
    <w:rsid w:val="00221A18"/>
    <w:rsid w:val="00222672"/>
    <w:rsid w:val="002233C3"/>
    <w:rsid w:val="002237F4"/>
    <w:rsid w:val="00223FE3"/>
    <w:rsid w:val="002255E8"/>
    <w:rsid w:val="00230701"/>
    <w:rsid w:val="00235B32"/>
    <w:rsid w:val="00236FC5"/>
    <w:rsid w:val="002505F5"/>
    <w:rsid w:val="00253CD0"/>
    <w:rsid w:val="0025772D"/>
    <w:rsid w:val="0026070E"/>
    <w:rsid w:val="00264164"/>
    <w:rsid w:val="0026573D"/>
    <w:rsid w:val="002733E9"/>
    <w:rsid w:val="002738EB"/>
    <w:rsid w:val="00274A3C"/>
    <w:rsid w:val="002770E4"/>
    <w:rsid w:val="00277E32"/>
    <w:rsid w:val="00280CDA"/>
    <w:rsid w:val="00282C5D"/>
    <w:rsid w:val="00285951"/>
    <w:rsid w:val="00286055"/>
    <w:rsid w:val="00295AC3"/>
    <w:rsid w:val="0029670F"/>
    <w:rsid w:val="002A4537"/>
    <w:rsid w:val="002A4B36"/>
    <w:rsid w:val="002A5DBB"/>
    <w:rsid w:val="002B3691"/>
    <w:rsid w:val="002B64CB"/>
    <w:rsid w:val="002C22D6"/>
    <w:rsid w:val="002D15CC"/>
    <w:rsid w:val="002D1D11"/>
    <w:rsid w:val="002D3B81"/>
    <w:rsid w:val="002E1B49"/>
    <w:rsid w:val="002E4BDA"/>
    <w:rsid w:val="002F19B9"/>
    <w:rsid w:val="002F40F5"/>
    <w:rsid w:val="00307747"/>
    <w:rsid w:val="00307775"/>
    <w:rsid w:val="0031685C"/>
    <w:rsid w:val="0032381D"/>
    <w:rsid w:val="00323A74"/>
    <w:rsid w:val="00326D5B"/>
    <w:rsid w:val="00332749"/>
    <w:rsid w:val="003372D6"/>
    <w:rsid w:val="00343071"/>
    <w:rsid w:val="0035057E"/>
    <w:rsid w:val="00351C85"/>
    <w:rsid w:val="00356C13"/>
    <w:rsid w:val="003649DF"/>
    <w:rsid w:val="00376940"/>
    <w:rsid w:val="003851A7"/>
    <w:rsid w:val="003877F3"/>
    <w:rsid w:val="003878C0"/>
    <w:rsid w:val="00390551"/>
    <w:rsid w:val="003907A1"/>
    <w:rsid w:val="0039285E"/>
    <w:rsid w:val="00393003"/>
    <w:rsid w:val="003B0622"/>
    <w:rsid w:val="003B0754"/>
    <w:rsid w:val="003B13BE"/>
    <w:rsid w:val="003B3208"/>
    <w:rsid w:val="003B588B"/>
    <w:rsid w:val="003C6AC9"/>
    <w:rsid w:val="003D2795"/>
    <w:rsid w:val="003D4B35"/>
    <w:rsid w:val="003D5F82"/>
    <w:rsid w:val="003E44E8"/>
    <w:rsid w:val="003E754A"/>
    <w:rsid w:val="003F1533"/>
    <w:rsid w:val="003F1DFF"/>
    <w:rsid w:val="003F3031"/>
    <w:rsid w:val="003F303D"/>
    <w:rsid w:val="003F32A8"/>
    <w:rsid w:val="003F52AB"/>
    <w:rsid w:val="003F643D"/>
    <w:rsid w:val="00401C03"/>
    <w:rsid w:val="00413152"/>
    <w:rsid w:val="004156F0"/>
    <w:rsid w:val="004161E2"/>
    <w:rsid w:val="004234B8"/>
    <w:rsid w:val="004400D8"/>
    <w:rsid w:val="004429A1"/>
    <w:rsid w:val="004502CA"/>
    <w:rsid w:val="00450C93"/>
    <w:rsid w:val="00454CEA"/>
    <w:rsid w:val="00455CB9"/>
    <w:rsid w:val="004605A5"/>
    <w:rsid w:val="00463CD2"/>
    <w:rsid w:val="00464422"/>
    <w:rsid w:val="004664E2"/>
    <w:rsid w:val="0047040A"/>
    <w:rsid w:val="00477072"/>
    <w:rsid w:val="00482E7A"/>
    <w:rsid w:val="00484B1D"/>
    <w:rsid w:val="00486C15"/>
    <w:rsid w:val="0048707F"/>
    <w:rsid w:val="00487985"/>
    <w:rsid w:val="00491389"/>
    <w:rsid w:val="00492454"/>
    <w:rsid w:val="00493563"/>
    <w:rsid w:val="00494922"/>
    <w:rsid w:val="004952E5"/>
    <w:rsid w:val="00497FDA"/>
    <w:rsid w:val="004A207D"/>
    <w:rsid w:val="004A56AC"/>
    <w:rsid w:val="004A5DAE"/>
    <w:rsid w:val="004B380D"/>
    <w:rsid w:val="004B4F6A"/>
    <w:rsid w:val="004C0316"/>
    <w:rsid w:val="004C141B"/>
    <w:rsid w:val="004C6581"/>
    <w:rsid w:val="004D0807"/>
    <w:rsid w:val="004D0BAD"/>
    <w:rsid w:val="004D6751"/>
    <w:rsid w:val="004E3384"/>
    <w:rsid w:val="004F3811"/>
    <w:rsid w:val="004F5FFE"/>
    <w:rsid w:val="004F7F27"/>
    <w:rsid w:val="005014A1"/>
    <w:rsid w:val="00503A38"/>
    <w:rsid w:val="005045DA"/>
    <w:rsid w:val="00504D44"/>
    <w:rsid w:val="00507D2D"/>
    <w:rsid w:val="00512206"/>
    <w:rsid w:val="00535559"/>
    <w:rsid w:val="00535663"/>
    <w:rsid w:val="0055711E"/>
    <w:rsid w:val="005572EF"/>
    <w:rsid w:val="005579D6"/>
    <w:rsid w:val="00562835"/>
    <w:rsid w:val="00562D67"/>
    <w:rsid w:val="00565288"/>
    <w:rsid w:val="00570E3D"/>
    <w:rsid w:val="005722C3"/>
    <w:rsid w:val="00584DEF"/>
    <w:rsid w:val="00584EDA"/>
    <w:rsid w:val="00590D16"/>
    <w:rsid w:val="00591FF2"/>
    <w:rsid w:val="00593239"/>
    <w:rsid w:val="005C1911"/>
    <w:rsid w:val="005C3089"/>
    <w:rsid w:val="005C3A77"/>
    <w:rsid w:val="005C48F7"/>
    <w:rsid w:val="005C6989"/>
    <w:rsid w:val="005C72B0"/>
    <w:rsid w:val="005D3EDE"/>
    <w:rsid w:val="005D4F3E"/>
    <w:rsid w:val="005D627F"/>
    <w:rsid w:val="005E0B34"/>
    <w:rsid w:val="005E2C71"/>
    <w:rsid w:val="005E631F"/>
    <w:rsid w:val="005F35E6"/>
    <w:rsid w:val="005F63AF"/>
    <w:rsid w:val="00603438"/>
    <w:rsid w:val="00603DB1"/>
    <w:rsid w:val="00613C94"/>
    <w:rsid w:val="00615593"/>
    <w:rsid w:val="00620BA3"/>
    <w:rsid w:val="00623A9F"/>
    <w:rsid w:val="006352B5"/>
    <w:rsid w:val="00641653"/>
    <w:rsid w:val="00644165"/>
    <w:rsid w:val="00644AEF"/>
    <w:rsid w:val="00651AEF"/>
    <w:rsid w:val="00657E1B"/>
    <w:rsid w:val="00660BE0"/>
    <w:rsid w:val="006663FA"/>
    <w:rsid w:val="00672F03"/>
    <w:rsid w:val="00682C69"/>
    <w:rsid w:val="00684CE5"/>
    <w:rsid w:val="00691EEE"/>
    <w:rsid w:val="00693631"/>
    <w:rsid w:val="0069731C"/>
    <w:rsid w:val="00697FAC"/>
    <w:rsid w:val="006A1C1C"/>
    <w:rsid w:val="006C4953"/>
    <w:rsid w:val="006C6E71"/>
    <w:rsid w:val="006D4C97"/>
    <w:rsid w:val="006D662A"/>
    <w:rsid w:val="006D6676"/>
    <w:rsid w:val="006D7F3F"/>
    <w:rsid w:val="006F325A"/>
    <w:rsid w:val="006F32A1"/>
    <w:rsid w:val="00700E5B"/>
    <w:rsid w:val="00707D8A"/>
    <w:rsid w:val="00713999"/>
    <w:rsid w:val="00715E0A"/>
    <w:rsid w:val="007205C5"/>
    <w:rsid w:val="00721DB5"/>
    <w:rsid w:val="007232BD"/>
    <w:rsid w:val="00723D83"/>
    <w:rsid w:val="007258CF"/>
    <w:rsid w:val="00727D47"/>
    <w:rsid w:val="00731957"/>
    <w:rsid w:val="0073229C"/>
    <w:rsid w:val="00733757"/>
    <w:rsid w:val="007339E3"/>
    <w:rsid w:val="007362F9"/>
    <w:rsid w:val="00741A95"/>
    <w:rsid w:val="00747ED3"/>
    <w:rsid w:val="007519B0"/>
    <w:rsid w:val="007602EA"/>
    <w:rsid w:val="00760604"/>
    <w:rsid w:val="0076223C"/>
    <w:rsid w:val="00763086"/>
    <w:rsid w:val="00764229"/>
    <w:rsid w:val="00772F4F"/>
    <w:rsid w:val="007736E6"/>
    <w:rsid w:val="0077584B"/>
    <w:rsid w:val="00775A0E"/>
    <w:rsid w:val="00775E99"/>
    <w:rsid w:val="007764C2"/>
    <w:rsid w:val="00777F3B"/>
    <w:rsid w:val="00795077"/>
    <w:rsid w:val="00796CE7"/>
    <w:rsid w:val="00796FE9"/>
    <w:rsid w:val="007A0415"/>
    <w:rsid w:val="007A2FFD"/>
    <w:rsid w:val="007A3E38"/>
    <w:rsid w:val="007B1BC6"/>
    <w:rsid w:val="007C0AB4"/>
    <w:rsid w:val="007C150F"/>
    <w:rsid w:val="007C174B"/>
    <w:rsid w:val="007C21F2"/>
    <w:rsid w:val="007C4ED4"/>
    <w:rsid w:val="007C4F48"/>
    <w:rsid w:val="007C58A6"/>
    <w:rsid w:val="007C656C"/>
    <w:rsid w:val="007D46C5"/>
    <w:rsid w:val="007D5256"/>
    <w:rsid w:val="007D5C5B"/>
    <w:rsid w:val="007D6BE4"/>
    <w:rsid w:val="007E0D9F"/>
    <w:rsid w:val="007F3FBA"/>
    <w:rsid w:val="007F56CE"/>
    <w:rsid w:val="007F5B8D"/>
    <w:rsid w:val="007F7EE8"/>
    <w:rsid w:val="00800A0F"/>
    <w:rsid w:val="0080557C"/>
    <w:rsid w:val="00806842"/>
    <w:rsid w:val="00807E49"/>
    <w:rsid w:val="00811C8D"/>
    <w:rsid w:val="00814B60"/>
    <w:rsid w:val="00817D4B"/>
    <w:rsid w:val="00820AAD"/>
    <w:rsid w:val="00821847"/>
    <w:rsid w:val="00822BFC"/>
    <w:rsid w:val="0083036B"/>
    <w:rsid w:val="008333F6"/>
    <w:rsid w:val="00835062"/>
    <w:rsid w:val="008455B8"/>
    <w:rsid w:val="00845838"/>
    <w:rsid w:val="00852338"/>
    <w:rsid w:val="00853883"/>
    <w:rsid w:val="00855B2B"/>
    <w:rsid w:val="00857434"/>
    <w:rsid w:val="008650DF"/>
    <w:rsid w:val="00870236"/>
    <w:rsid w:val="00872151"/>
    <w:rsid w:val="0087515C"/>
    <w:rsid w:val="0088010D"/>
    <w:rsid w:val="00883D72"/>
    <w:rsid w:val="0088468C"/>
    <w:rsid w:val="008912BB"/>
    <w:rsid w:val="00892BA8"/>
    <w:rsid w:val="00897CC2"/>
    <w:rsid w:val="008A018E"/>
    <w:rsid w:val="008B02CE"/>
    <w:rsid w:val="008B57DC"/>
    <w:rsid w:val="008B58DD"/>
    <w:rsid w:val="008C19C8"/>
    <w:rsid w:val="008C4C54"/>
    <w:rsid w:val="008C6A45"/>
    <w:rsid w:val="008D668C"/>
    <w:rsid w:val="008E2773"/>
    <w:rsid w:val="008F0B3B"/>
    <w:rsid w:val="008F5526"/>
    <w:rsid w:val="009037CC"/>
    <w:rsid w:val="00904803"/>
    <w:rsid w:val="00910D8D"/>
    <w:rsid w:val="00910FB1"/>
    <w:rsid w:val="00912A57"/>
    <w:rsid w:val="00925C83"/>
    <w:rsid w:val="0093432A"/>
    <w:rsid w:val="00935D93"/>
    <w:rsid w:val="009379E3"/>
    <w:rsid w:val="0094462A"/>
    <w:rsid w:val="00944954"/>
    <w:rsid w:val="00946816"/>
    <w:rsid w:val="00950E16"/>
    <w:rsid w:val="0095269A"/>
    <w:rsid w:val="0095430C"/>
    <w:rsid w:val="0095453C"/>
    <w:rsid w:val="009556C7"/>
    <w:rsid w:val="00962C72"/>
    <w:rsid w:val="00967FE3"/>
    <w:rsid w:val="00974D9B"/>
    <w:rsid w:val="00977904"/>
    <w:rsid w:val="0098751C"/>
    <w:rsid w:val="00990D59"/>
    <w:rsid w:val="00996E18"/>
    <w:rsid w:val="009A3434"/>
    <w:rsid w:val="009B0A59"/>
    <w:rsid w:val="009D0A33"/>
    <w:rsid w:val="009D120E"/>
    <w:rsid w:val="009D1CC2"/>
    <w:rsid w:val="009D1EBD"/>
    <w:rsid w:val="009D26F4"/>
    <w:rsid w:val="009D6E53"/>
    <w:rsid w:val="009F1754"/>
    <w:rsid w:val="00A0205E"/>
    <w:rsid w:val="00A02DED"/>
    <w:rsid w:val="00A04923"/>
    <w:rsid w:val="00A11A96"/>
    <w:rsid w:val="00A163AB"/>
    <w:rsid w:val="00A17BAF"/>
    <w:rsid w:val="00A2306C"/>
    <w:rsid w:val="00A42DCB"/>
    <w:rsid w:val="00A46771"/>
    <w:rsid w:val="00A47CF6"/>
    <w:rsid w:val="00A52BDD"/>
    <w:rsid w:val="00A5574A"/>
    <w:rsid w:val="00A5668E"/>
    <w:rsid w:val="00A62B17"/>
    <w:rsid w:val="00A63912"/>
    <w:rsid w:val="00A66C24"/>
    <w:rsid w:val="00A80E93"/>
    <w:rsid w:val="00A814F1"/>
    <w:rsid w:val="00A83D91"/>
    <w:rsid w:val="00A8426C"/>
    <w:rsid w:val="00A856B1"/>
    <w:rsid w:val="00A90963"/>
    <w:rsid w:val="00AA1BA1"/>
    <w:rsid w:val="00AA4B89"/>
    <w:rsid w:val="00AA511A"/>
    <w:rsid w:val="00AB1703"/>
    <w:rsid w:val="00AB6019"/>
    <w:rsid w:val="00AC0BD2"/>
    <w:rsid w:val="00AC5018"/>
    <w:rsid w:val="00AC5ADE"/>
    <w:rsid w:val="00AD063B"/>
    <w:rsid w:val="00AD1D35"/>
    <w:rsid w:val="00AE00A4"/>
    <w:rsid w:val="00AE2D40"/>
    <w:rsid w:val="00AE4DDC"/>
    <w:rsid w:val="00AE5219"/>
    <w:rsid w:val="00AE7BE8"/>
    <w:rsid w:val="00AF2204"/>
    <w:rsid w:val="00AF3398"/>
    <w:rsid w:val="00AF4968"/>
    <w:rsid w:val="00B00EC8"/>
    <w:rsid w:val="00B0129B"/>
    <w:rsid w:val="00B2049F"/>
    <w:rsid w:val="00B22088"/>
    <w:rsid w:val="00B24FE0"/>
    <w:rsid w:val="00B2704B"/>
    <w:rsid w:val="00B32D01"/>
    <w:rsid w:val="00B35F19"/>
    <w:rsid w:val="00B371DD"/>
    <w:rsid w:val="00B423B9"/>
    <w:rsid w:val="00B531BB"/>
    <w:rsid w:val="00B56D28"/>
    <w:rsid w:val="00B6196D"/>
    <w:rsid w:val="00B61FC1"/>
    <w:rsid w:val="00B62B12"/>
    <w:rsid w:val="00B72858"/>
    <w:rsid w:val="00B75ABC"/>
    <w:rsid w:val="00B77EBE"/>
    <w:rsid w:val="00B812D3"/>
    <w:rsid w:val="00B822A8"/>
    <w:rsid w:val="00B8275F"/>
    <w:rsid w:val="00B840E9"/>
    <w:rsid w:val="00B86399"/>
    <w:rsid w:val="00B86BCB"/>
    <w:rsid w:val="00B879F4"/>
    <w:rsid w:val="00B94766"/>
    <w:rsid w:val="00BA14CF"/>
    <w:rsid w:val="00BA245B"/>
    <w:rsid w:val="00BA24E2"/>
    <w:rsid w:val="00BA3091"/>
    <w:rsid w:val="00BA7C70"/>
    <w:rsid w:val="00BB029C"/>
    <w:rsid w:val="00BB0513"/>
    <w:rsid w:val="00BB204A"/>
    <w:rsid w:val="00BB6DB5"/>
    <w:rsid w:val="00BC209E"/>
    <w:rsid w:val="00BC41EE"/>
    <w:rsid w:val="00BC5437"/>
    <w:rsid w:val="00BD2537"/>
    <w:rsid w:val="00BD37F8"/>
    <w:rsid w:val="00BD431B"/>
    <w:rsid w:val="00BE5877"/>
    <w:rsid w:val="00BF08FE"/>
    <w:rsid w:val="00BF614F"/>
    <w:rsid w:val="00BF7144"/>
    <w:rsid w:val="00BF7F6D"/>
    <w:rsid w:val="00C076F5"/>
    <w:rsid w:val="00C12EFA"/>
    <w:rsid w:val="00C136B1"/>
    <w:rsid w:val="00C23F96"/>
    <w:rsid w:val="00C2411B"/>
    <w:rsid w:val="00C24554"/>
    <w:rsid w:val="00C2709D"/>
    <w:rsid w:val="00C27950"/>
    <w:rsid w:val="00C3260E"/>
    <w:rsid w:val="00C33D9C"/>
    <w:rsid w:val="00C35592"/>
    <w:rsid w:val="00C3633C"/>
    <w:rsid w:val="00C373AB"/>
    <w:rsid w:val="00C41A2A"/>
    <w:rsid w:val="00C45128"/>
    <w:rsid w:val="00C61FF8"/>
    <w:rsid w:val="00C6244D"/>
    <w:rsid w:val="00C629EF"/>
    <w:rsid w:val="00C66560"/>
    <w:rsid w:val="00C80384"/>
    <w:rsid w:val="00C80EEB"/>
    <w:rsid w:val="00C93532"/>
    <w:rsid w:val="00CA06DF"/>
    <w:rsid w:val="00CA288E"/>
    <w:rsid w:val="00CA39B0"/>
    <w:rsid w:val="00CA7EA1"/>
    <w:rsid w:val="00CB0D56"/>
    <w:rsid w:val="00CB110D"/>
    <w:rsid w:val="00CB79A5"/>
    <w:rsid w:val="00CC1067"/>
    <w:rsid w:val="00CC48C3"/>
    <w:rsid w:val="00CC4E27"/>
    <w:rsid w:val="00CC7990"/>
    <w:rsid w:val="00CC7E90"/>
    <w:rsid w:val="00CD0EEA"/>
    <w:rsid w:val="00CD1330"/>
    <w:rsid w:val="00CD2D14"/>
    <w:rsid w:val="00CD36F4"/>
    <w:rsid w:val="00CD3EFF"/>
    <w:rsid w:val="00CD6C11"/>
    <w:rsid w:val="00CE1652"/>
    <w:rsid w:val="00CE4EC1"/>
    <w:rsid w:val="00CF2572"/>
    <w:rsid w:val="00D046FA"/>
    <w:rsid w:val="00D10991"/>
    <w:rsid w:val="00D16AC8"/>
    <w:rsid w:val="00D17497"/>
    <w:rsid w:val="00D178F9"/>
    <w:rsid w:val="00D26E26"/>
    <w:rsid w:val="00D332BB"/>
    <w:rsid w:val="00D3331F"/>
    <w:rsid w:val="00D354A6"/>
    <w:rsid w:val="00D37016"/>
    <w:rsid w:val="00D42ED3"/>
    <w:rsid w:val="00D44542"/>
    <w:rsid w:val="00D44DE9"/>
    <w:rsid w:val="00D45642"/>
    <w:rsid w:val="00D55321"/>
    <w:rsid w:val="00D61654"/>
    <w:rsid w:val="00D61685"/>
    <w:rsid w:val="00D617A8"/>
    <w:rsid w:val="00D6186A"/>
    <w:rsid w:val="00D650C3"/>
    <w:rsid w:val="00D678A4"/>
    <w:rsid w:val="00D70A1E"/>
    <w:rsid w:val="00D726A5"/>
    <w:rsid w:val="00D74993"/>
    <w:rsid w:val="00D846F5"/>
    <w:rsid w:val="00D85BFB"/>
    <w:rsid w:val="00D90A4A"/>
    <w:rsid w:val="00D9110A"/>
    <w:rsid w:val="00DA1C78"/>
    <w:rsid w:val="00DB2934"/>
    <w:rsid w:val="00DB362A"/>
    <w:rsid w:val="00DB4635"/>
    <w:rsid w:val="00DC0C2A"/>
    <w:rsid w:val="00DC33FD"/>
    <w:rsid w:val="00DC35CD"/>
    <w:rsid w:val="00DC3C26"/>
    <w:rsid w:val="00DD1E3F"/>
    <w:rsid w:val="00DD7E2D"/>
    <w:rsid w:val="00DE1B8F"/>
    <w:rsid w:val="00DE261C"/>
    <w:rsid w:val="00DE29D8"/>
    <w:rsid w:val="00DE6B07"/>
    <w:rsid w:val="00DE72B8"/>
    <w:rsid w:val="00DF0012"/>
    <w:rsid w:val="00DF0DEC"/>
    <w:rsid w:val="00DF20F1"/>
    <w:rsid w:val="00DF48B9"/>
    <w:rsid w:val="00DF727E"/>
    <w:rsid w:val="00E0588E"/>
    <w:rsid w:val="00E06F7D"/>
    <w:rsid w:val="00E06F80"/>
    <w:rsid w:val="00E079B1"/>
    <w:rsid w:val="00E11ABE"/>
    <w:rsid w:val="00E1289F"/>
    <w:rsid w:val="00E1337F"/>
    <w:rsid w:val="00E149DB"/>
    <w:rsid w:val="00E14A6C"/>
    <w:rsid w:val="00E163F1"/>
    <w:rsid w:val="00E174E9"/>
    <w:rsid w:val="00E21949"/>
    <w:rsid w:val="00E26E4C"/>
    <w:rsid w:val="00E2717E"/>
    <w:rsid w:val="00E33530"/>
    <w:rsid w:val="00E35B06"/>
    <w:rsid w:val="00E43FAF"/>
    <w:rsid w:val="00E477A7"/>
    <w:rsid w:val="00E5505D"/>
    <w:rsid w:val="00E55E5D"/>
    <w:rsid w:val="00E56858"/>
    <w:rsid w:val="00E6238D"/>
    <w:rsid w:val="00E627FA"/>
    <w:rsid w:val="00E62B76"/>
    <w:rsid w:val="00E6425A"/>
    <w:rsid w:val="00E650F1"/>
    <w:rsid w:val="00E656FC"/>
    <w:rsid w:val="00E6736C"/>
    <w:rsid w:val="00E707B7"/>
    <w:rsid w:val="00E71A1C"/>
    <w:rsid w:val="00E73CAB"/>
    <w:rsid w:val="00E77266"/>
    <w:rsid w:val="00E77BBC"/>
    <w:rsid w:val="00E83649"/>
    <w:rsid w:val="00E84882"/>
    <w:rsid w:val="00E85BBC"/>
    <w:rsid w:val="00E87545"/>
    <w:rsid w:val="00E92F34"/>
    <w:rsid w:val="00E9480C"/>
    <w:rsid w:val="00EA135D"/>
    <w:rsid w:val="00EA1B4D"/>
    <w:rsid w:val="00EA541C"/>
    <w:rsid w:val="00EA7719"/>
    <w:rsid w:val="00EB1706"/>
    <w:rsid w:val="00EB389B"/>
    <w:rsid w:val="00EB41F7"/>
    <w:rsid w:val="00EB56E3"/>
    <w:rsid w:val="00EB585C"/>
    <w:rsid w:val="00EB7D2B"/>
    <w:rsid w:val="00EC226B"/>
    <w:rsid w:val="00ED5708"/>
    <w:rsid w:val="00EE2A5A"/>
    <w:rsid w:val="00EE318A"/>
    <w:rsid w:val="00EE525D"/>
    <w:rsid w:val="00EE6978"/>
    <w:rsid w:val="00EE7B2C"/>
    <w:rsid w:val="00EF5692"/>
    <w:rsid w:val="00EF7372"/>
    <w:rsid w:val="00EF75C5"/>
    <w:rsid w:val="00F00702"/>
    <w:rsid w:val="00F0112C"/>
    <w:rsid w:val="00F024BF"/>
    <w:rsid w:val="00F0276C"/>
    <w:rsid w:val="00F10A3C"/>
    <w:rsid w:val="00F1720E"/>
    <w:rsid w:val="00F17FBE"/>
    <w:rsid w:val="00F20A11"/>
    <w:rsid w:val="00F21006"/>
    <w:rsid w:val="00F319FD"/>
    <w:rsid w:val="00F4076E"/>
    <w:rsid w:val="00F41F51"/>
    <w:rsid w:val="00F53DDA"/>
    <w:rsid w:val="00F64E80"/>
    <w:rsid w:val="00F659BD"/>
    <w:rsid w:val="00F728C0"/>
    <w:rsid w:val="00F73306"/>
    <w:rsid w:val="00F7720C"/>
    <w:rsid w:val="00F81AB8"/>
    <w:rsid w:val="00F8409A"/>
    <w:rsid w:val="00F86C26"/>
    <w:rsid w:val="00F960E5"/>
    <w:rsid w:val="00F9678F"/>
    <w:rsid w:val="00FA233C"/>
    <w:rsid w:val="00FA33F5"/>
    <w:rsid w:val="00FA4284"/>
    <w:rsid w:val="00FA7955"/>
    <w:rsid w:val="00FB2ED6"/>
    <w:rsid w:val="00FB43AF"/>
    <w:rsid w:val="00FC4925"/>
    <w:rsid w:val="00FD10F4"/>
    <w:rsid w:val="00FD1A23"/>
    <w:rsid w:val="00FD1ACD"/>
    <w:rsid w:val="00FD342F"/>
    <w:rsid w:val="00FD42CF"/>
    <w:rsid w:val="00FD7BC6"/>
    <w:rsid w:val="00FE1882"/>
    <w:rsid w:val="00FF1BC5"/>
    <w:rsid w:val="00FF39EF"/>
    <w:rsid w:val="00FF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F051C"/>
  <w15:docId w15:val="{FB1E00F6-E78F-49B5-A7F3-069823C7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3DDA"/>
    <w:rPr>
      <w:sz w:val="24"/>
      <w:szCs w:val="24"/>
    </w:rPr>
  </w:style>
  <w:style w:type="paragraph" w:styleId="Nagwek1">
    <w:name w:val="heading 1"/>
    <w:basedOn w:val="Normalny"/>
    <w:next w:val="Normalny"/>
    <w:qFormat/>
    <w:rsid w:val="00F53DDA"/>
    <w:pPr>
      <w:keepNext/>
      <w:widowControl w:val="0"/>
      <w:snapToGrid w:val="0"/>
      <w:jc w:val="center"/>
      <w:outlineLvl w:val="0"/>
    </w:pPr>
    <w:rPr>
      <w:b/>
      <w:sz w:val="40"/>
    </w:rPr>
  </w:style>
  <w:style w:type="paragraph" w:styleId="Nagwek2">
    <w:name w:val="heading 2"/>
    <w:basedOn w:val="Normalny"/>
    <w:next w:val="Normalny"/>
    <w:qFormat/>
    <w:rsid w:val="00F53DDA"/>
    <w:pPr>
      <w:keepNext/>
      <w:outlineLvl w:val="1"/>
    </w:pPr>
    <w:rPr>
      <w:b/>
      <w:sz w:val="28"/>
    </w:rPr>
  </w:style>
  <w:style w:type="paragraph" w:styleId="Nagwek3">
    <w:name w:val="heading 3"/>
    <w:basedOn w:val="Normalny"/>
    <w:next w:val="Normalny"/>
    <w:link w:val="Nagwek3Znak"/>
    <w:qFormat/>
    <w:rsid w:val="00F53DDA"/>
    <w:pPr>
      <w:keepNext/>
      <w:outlineLvl w:val="2"/>
    </w:pPr>
    <w:rPr>
      <w:b/>
    </w:rPr>
  </w:style>
  <w:style w:type="paragraph" w:styleId="Nagwek4">
    <w:name w:val="heading 4"/>
    <w:basedOn w:val="Normalny"/>
    <w:next w:val="Normalny"/>
    <w:qFormat/>
    <w:rsid w:val="00F53DDA"/>
    <w:pPr>
      <w:keepNext/>
      <w:outlineLvl w:val="3"/>
    </w:pPr>
    <w:rPr>
      <w:rFonts w:ascii="Bookman Old Style" w:hAnsi="Bookman Old Style"/>
      <w:szCs w:val="20"/>
    </w:rPr>
  </w:style>
  <w:style w:type="paragraph" w:styleId="Nagwek5">
    <w:name w:val="heading 5"/>
    <w:basedOn w:val="Normalny"/>
    <w:next w:val="Normalny"/>
    <w:qFormat/>
    <w:rsid w:val="00F53DDA"/>
    <w:pPr>
      <w:keepNext/>
      <w:widowControl w:val="0"/>
      <w:snapToGrid w:val="0"/>
      <w:jc w:val="center"/>
      <w:outlineLvl w:val="4"/>
    </w:pPr>
    <w:rPr>
      <w:b/>
      <w:sz w:val="56"/>
    </w:rPr>
  </w:style>
  <w:style w:type="paragraph" w:styleId="Nagwek6">
    <w:name w:val="heading 6"/>
    <w:basedOn w:val="Normalny"/>
    <w:next w:val="Normalny"/>
    <w:qFormat/>
    <w:rsid w:val="00F53DDA"/>
    <w:pPr>
      <w:keepNext/>
      <w:jc w:val="center"/>
      <w:outlineLvl w:val="5"/>
    </w:pPr>
    <w:rPr>
      <w:b/>
      <w:sz w:val="32"/>
    </w:rPr>
  </w:style>
  <w:style w:type="paragraph" w:styleId="Nagwek7">
    <w:name w:val="heading 7"/>
    <w:basedOn w:val="Normalny"/>
    <w:next w:val="Normalny"/>
    <w:qFormat/>
    <w:rsid w:val="00F53DDA"/>
    <w:pPr>
      <w:keepNext/>
      <w:tabs>
        <w:tab w:val="left" w:pos="2127"/>
        <w:tab w:val="left" w:pos="10490"/>
      </w:tabs>
      <w:jc w:val="center"/>
      <w:outlineLvl w:val="6"/>
    </w:pPr>
    <w:rPr>
      <w:b/>
      <w:sz w:val="28"/>
    </w:rPr>
  </w:style>
  <w:style w:type="paragraph" w:styleId="Nagwek8">
    <w:name w:val="heading 8"/>
    <w:basedOn w:val="Normalny"/>
    <w:next w:val="Normalny"/>
    <w:qFormat/>
    <w:rsid w:val="00F53DDA"/>
    <w:pPr>
      <w:keepNext/>
      <w:tabs>
        <w:tab w:val="left" w:pos="2127"/>
        <w:tab w:val="left" w:pos="10490"/>
      </w:tabs>
      <w:jc w:val="center"/>
      <w:outlineLvl w:val="7"/>
    </w:pPr>
    <w:rPr>
      <w:b/>
    </w:rPr>
  </w:style>
  <w:style w:type="paragraph" w:styleId="Nagwek9">
    <w:name w:val="heading 9"/>
    <w:basedOn w:val="Normalny"/>
    <w:next w:val="Normalny"/>
    <w:qFormat/>
    <w:rsid w:val="00F53DDA"/>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53DDA"/>
    <w:rPr>
      <w:sz w:val="22"/>
      <w:szCs w:val="20"/>
    </w:rPr>
  </w:style>
  <w:style w:type="paragraph" w:styleId="Tekstpodstawowy3">
    <w:name w:val="Body Text 3"/>
    <w:basedOn w:val="Normalny"/>
    <w:rsid w:val="00F53DDA"/>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F53DDA"/>
    <w:pPr>
      <w:tabs>
        <w:tab w:val="center" w:pos="4536"/>
        <w:tab w:val="right" w:pos="9072"/>
      </w:tabs>
    </w:pPr>
  </w:style>
  <w:style w:type="paragraph" w:styleId="Stopka">
    <w:name w:val="footer"/>
    <w:basedOn w:val="Normalny"/>
    <w:rsid w:val="00F53DDA"/>
    <w:pPr>
      <w:tabs>
        <w:tab w:val="center" w:pos="4536"/>
        <w:tab w:val="right" w:pos="9072"/>
      </w:tabs>
    </w:pPr>
  </w:style>
  <w:style w:type="character" w:styleId="Numerstrony">
    <w:name w:val="page number"/>
    <w:basedOn w:val="Domylnaczcionkaakapitu"/>
    <w:rsid w:val="00F53DDA"/>
  </w:style>
  <w:style w:type="paragraph" w:styleId="Lista">
    <w:name w:val="List"/>
    <w:basedOn w:val="Normalny"/>
    <w:rsid w:val="00F53DDA"/>
    <w:pPr>
      <w:ind w:left="283" w:hanging="283"/>
    </w:pPr>
  </w:style>
  <w:style w:type="paragraph" w:styleId="Lista2">
    <w:name w:val="List 2"/>
    <w:basedOn w:val="Normalny"/>
    <w:rsid w:val="00F53DDA"/>
    <w:pPr>
      <w:ind w:left="566" w:hanging="283"/>
    </w:pPr>
  </w:style>
  <w:style w:type="paragraph" w:styleId="Listapunktowana3">
    <w:name w:val="List Bullet 3"/>
    <w:basedOn w:val="Normalny"/>
    <w:autoRedefine/>
    <w:rsid w:val="00F53DDA"/>
    <w:pPr>
      <w:numPr>
        <w:ilvl w:val="1"/>
        <w:numId w:val="1"/>
      </w:numPr>
    </w:pPr>
  </w:style>
  <w:style w:type="paragraph" w:styleId="Tekstpodstawowy2">
    <w:name w:val="Body Text 2"/>
    <w:basedOn w:val="Normalny"/>
    <w:link w:val="Tekstpodstawowy2Znak"/>
    <w:rsid w:val="00F53DDA"/>
    <w:rPr>
      <w:sz w:val="16"/>
    </w:rPr>
  </w:style>
  <w:style w:type="paragraph" w:styleId="Legenda">
    <w:name w:val="caption"/>
    <w:basedOn w:val="Normalny"/>
    <w:next w:val="Normalny"/>
    <w:qFormat/>
    <w:rsid w:val="00F53DDA"/>
    <w:pPr>
      <w:jc w:val="center"/>
    </w:pPr>
    <w:rPr>
      <w:b/>
      <w:bCs/>
      <w:sz w:val="26"/>
    </w:rPr>
  </w:style>
  <w:style w:type="character" w:styleId="Hipercze">
    <w:name w:val="Hyperlink"/>
    <w:basedOn w:val="Domylnaczcionkaakapitu"/>
    <w:rsid w:val="00F53DDA"/>
    <w:rPr>
      <w:color w:val="0000FF"/>
      <w:u w:val="single"/>
    </w:rPr>
  </w:style>
  <w:style w:type="character" w:customStyle="1" w:styleId="grame">
    <w:name w:val="grame"/>
    <w:basedOn w:val="Domylnaczcionkaakapitu"/>
    <w:rsid w:val="00F53DDA"/>
  </w:style>
  <w:style w:type="character" w:styleId="UyteHipercze">
    <w:name w:val="FollowedHyperlink"/>
    <w:basedOn w:val="Domylnaczcionkaakapitu"/>
    <w:rsid w:val="00F53DDA"/>
    <w:rPr>
      <w:color w:val="800080"/>
      <w:u w:val="single"/>
    </w:rPr>
  </w:style>
  <w:style w:type="paragraph" w:customStyle="1" w:styleId="Tekstpodstawowy21">
    <w:name w:val="Tekst podstawowy 21"/>
    <w:basedOn w:val="Normalny"/>
    <w:rsid w:val="00F53DDA"/>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F53DDA"/>
    <w:pPr>
      <w:ind w:left="165" w:hanging="165"/>
      <w:jc w:val="both"/>
    </w:pPr>
    <w:rPr>
      <w:sz w:val="23"/>
    </w:rPr>
  </w:style>
  <w:style w:type="paragraph" w:styleId="HTML-wstpniesformatowany">
    <w:name w:val="HTML Preformatted"/>
    <w:basedOn w:val="Normalny"/>
    <w:link w:val="HTML-wstpniesformatowanyZnak"/>
    <w:rsid w:val="00F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F53DDA"/>
    <w:pPr>
      <w:spacing w:before="100" w:beforeAutospacing="1" w:after="100" w:afterAutospacing="1"/>
    </w:pPr>
  </w:style>
  <w:style w:type="character" w:styleId="Pogrubienie">
    <w:name w:val="Strong"/>
    <w:basedOn w:val="Domylnaczcionkaakapitu"/>
    <w:qFormat/>
    <w:rsid w:val="00F53DDA"/>
    <w:rPr>
      <w:b/>
      <w:bCs/>
    </w:rPr>
  </w:style>
  <w:style w:type="character" w:customStyle="1" w:styleId="apple-converted-space">
    <w:name w:val="apple-converted-space"/>
    <w:basedOn w:val="Domylnaczcionkaakapitu"/>
    <w:rsid w:val="00F53DDA"/>
  </w:style>
  <w:style w:type="paragraph" w:styleId="Tekstpodstawowywcity">
    <w:name w:val="Body Text Indent"/>
    <w:basedOn w:val="Normalny"/>
    <w:rsid w:val="00F53DDA"/>
    <w:pPr>
      <w:tabs>
        <w:tab w:val="left" w:pos="1477"/>
        <w:tab w:val="left" w:pos="10912"/>
      </w:tabs>
      <w:spacing w:before="120" w:after="120"/>
      <w:ind w:left="-6"/>
      <w:jc w:val="both"/>
    </w:pPr>
    <w:rPr>
      <w:rFonts w:ascii="Calibri" w:hAnsi="Calibri"/>
      <w:sz w:val="22"/>
    </w:rPr>
  </w:style>
  <w:style w:type="character" w:customStyle="1" w:styleId="Tekstpodstawowy2Znak">
    <w:name w:val="Tekst podstawowy 2 Znak"/>
    <w:basedOn w:val="Domylnaczcionkaakapitu"/>
    <w:link w:val="Tekstpodstawowy2"/>
    <w:rsid w:val="00326D5B"/>
    <w:rPr>
      <w:sz w:val="16"/>
      <w:szCs w:val="24"/>
    </w:rPr>
  </w:style>
  <w:style w:type="character" w:styleId="Odwoaniedokomentarza">
    <w:name w:val="annotation reference"/>
    <w:basedOn w:val="Domylnaczcionkaakapitu"/>
    <w:rsid w:val="004F5FFE"/>
    <w:rPr>
      <w:sz w:val="16"/>
      <w:szCs w:val="16"/>
    </w:rPr>
  </w:style>
  <w:style w:type="paragraph" w:styleId="Tekstkomentarza">
    <w:name w:val="annotation text"/>
    <w:basedOn w:val="Normalny"/>
    <w:link w:val="TekstkomentarzaZnak"/>
    <w:rsid w:val="004F5FFE"/>
    <w:rPr>
      <w:sz w:val="20"/>
      <w:szCs w:val="20"/>
    </w:rPr>
  </w:style>
  <w:style w:type="character" w:customStyle="1" w:styleId="TekstkomentarzaZnak">
    <w:name w:val="Tekst komentarza Znak"/>
    <w:basedOn w:val="Domylnaczcionkaakapitu"/>
    <w:link w:val="Tekstkomentarza"/>
    <w:rsid w:val="004F5FFE"/>
  </w:style>
  <w:style w:type="paragraph" w:styleId="Tematkomentarza">
    <w:name w:val="annotation subject"/>
    <w:basedOn w:val="Tekstkomentarza"/>
    <w:next w:val="Tekstkomentarza"/>
    <w:link w:val="TematkomentarzaZnak"/>
    <w:rsid w:val="004F5FFE"/>
    <w:rPr>
      <w:b/>
      <w:bCs/>
    </w:rPr>
  </w:style>
  <w:style w:type="character" w:customStyle="1" w:styleId="TematkomentarzaZnak">
    <w:name w:val="Temat komentarza Znak"/>
    <w:basedOn w:val="TekstkomentarzaZnak"/>
    <w:link w:val="Tematkomentarza"/>
    <w:rsid w:val="004F5FFE"/>
    <w:rPr>
      <w:b/>
      <w:bCs/>
    </w:rPr>
  </w:style>
  <w:style w:type="paragraph" w:styleId="Tekstdymka">
    <w:name w:val="Balloon Text"/>
    <w:basedOn w:val="Normalny"/>
    <w:link w:val="TekstdymkaZnak"/>
    <w:rsid w:val="004F5FFE"/>
    <w:rPr>
      <w:rFonts w:ascii="Tahoma" w:hAnsi="Tahoma" w:cs="Tahoma"/>
      <w:sz w:val="16"/>
      <w:szCs w:val="16"/>
    </w:rPr>
  </w:style>
  <w:style w:type="character" w:customStyle="1" w:styleId="TekstdymkaZnak">
    <w:name w:val="Tekst dymka Znak"/>
    <w:basedOn w:val="Domylnaczcionkaakapitu"/>
    <w:link w:val="Tekstdymka"/>
    <w:rsid w:val="004F5FFE"/>
    <w:rPr>
      <w:rFonts w:ascii="Tahoma" w:hAnsi="Tahoma" w:cs="Tahoma"/>
      <w:sz w:val="16"/>
      <w:szCs w:val="16"/>
    </w:rPr>
  </w:style>
  <w:style w:type="table" w:styleId="Tabela-Siatka">
    <w:name w:val="Table Grid"/>
    <w:basedOn w:val="Standardowy"/>
    <w:rsid w:val="00CC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19FD"/>
    <w:pPr>
      <w:ind w:left="720"/>
      <w:contextualSpacing/>
    </w:pPr>
  </w:style>
  <w:style w:type="character" w:customStyle="1" w:styleId="Nagwek3Znak">
    <w:name w:val="Nagłówek 3 Znak"/>
    <w:basedOn w:val="Domylnaczcionkaakapitu"/>
    <w:link w:val="Nagwek3"/>
    <w:rsid w:val="00A83D91"/>
    <w:rPr>
      <w:b/>
      <w:sz w:val="24"/>
      <w:szCs w:val="24"/>
    </w:rPr>
  </w:style>
  <w:style w:type="character" w:customStyle="1" w:styleId="HTML-wstpniesformatowanyZnak">
    <w:name w:val="HTML - wstępnie sformatowany Znak"/>
    <w:basedOn w:val="Domylnaczcionkaakapitu"/>
    <w:link w:val="HTML-wstpniesformatowany"/>
    <w:rsid w:val="002738EB"/>
    <w:rPr>
      <w:rFonts w:ascii="Courier New" w:hAnsi="Courier New" w:cs="Courier New"/>
    </w:rPr>
  </w:style>
  <w:style w:type="character" w:customStyle="1" w:styleId="TekstpodstawowyZnak">
    <w:name w:val="Tekst podstawowy Znak"/>
    <w:basedOn w:val="Domylnaczcionkaakapitu"/>
    <w:link w:val="Tekstpodstawowy"/>
    <w:rsid w:val="007D46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690450">
      <w:bodyDiv w:val="1"/>
      <w:marLeft w:val="0"/>
      <w:marRight w:val="0"/>
      <w:marTop w:val="0"/>
      <w:marBottom w:val="0"/>
      <w:divBdr>
        <w:top w:val="none" w:sz="0" w:space="0" w:color="auto"/>
        <w:left w:val="none" w:sz="0" w:space="0" w:color="auto"/>
        <w:bottom w:val="none" w:sz="0" w:space="0" w:color="auto"/>
        <w:right w:val="none" w:sz="0" w:space="0" w:color="auto"/>
      </w:divBdr>
    </w:div>
    <w:div w:id="1444425280">
      <w:bodyDiv w:val="1"/>
      <w:marLeft w:val="0"/>
      <w:marRight w:val="0"/>
      <w:marTop w:val="0"/>
      <w:marBottom w:val="0"/>
      <w:divBdr>
        <w:top w:val="none" w:sz="0" w:space="0" w:color="auto"/>
        <w:left w:val="none" w:sz="0" w:space="0" w:color="auto"/>
        <w:bottom w:val="none" w:sz="0" w:space="0" w:color="auto"/>
        <w:right w:val="none" w:sz="0" w:space="0" w:color="auto"/>
      </w:divBdr>
    </w:div>
    <w:div w:id="14493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ettings" Target="settings.xml"/><Relationship Id="rId7" Type="http://schemas.openxmlformats.org/officeDocument/2006/relationships/hyperlink" Target="mailto:atl@atl.edu.pl" TargetMode="External"/><Relationship Id="rId12" Type="http://schemas.openxmlformats.org/officeDocument/2006/relationships/hyperlink" Target="https://www.atl.edu.pl/uploads/REGULAM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edu.pl/uploads/ROD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4085</Words>
  <Characters>24516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AKREDYTYWA_DOKUMENTOWA</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AKREDYTYWA_DOKUMENTOWA</dc:title>
  <dc:subject/>
  <dc:creator>Majchrowski</dc:creator>
  <cp:keywords/>
  <dc:description/>
  <cp:lastModifiedBy>Maciej Majchrowski</cp:lastModifiedBy>
  <cp:revision>19</cp:revision>
  <cp:lastPrinted>2023-11-15T12:53:00Z</cp:lastPrinted>
  <dcterms:created xsi:type="dcterms:W3CDTF">2023-11-08T17:30:00Z</dcterms:created>
  <dcterms:modified xsi:type="dcterms:W3CDTF">2024-04-04T17:07:00Z</dcterms:modified>
</cp:coreProperties>
</file>